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FDCAC" w14:textId="77777777" w:rsidR="00424BB1" w:rsidRPr="0042535F" w:rsidRDefault="0042535F" w:rsidP="00605759">
      <w:pPr>
        <w:rPr>
          <w:b/>
          <w:color w:val="003769" w:themeColor="text2" w:themeShade="BF"/>
          <w:sz w:val="28"/>
          <w:szCs w:val="28"/>
        </w:rPr>
      </w:pPr>
      <w:bookmarkStart w:id="0" w:name="_GoBack"/>
      <w:bookmarkEnd w:id="0"/>
      <w:r w:rsidRPr="0042535F">
        <w:rPr>
          <w:b/>
          <w:color w:val="003769" w:themeColor="text2" w:themeShade="BF"/>
          <w:sz w:val="28"/>
          <w:szCs w:val="28"/>
        </w:rPr>
        <w:t>Příloha</w:t>
      </w:r>
      <w:r w:rsidR="00424BB1" w:rsidRPr="0042535F">
        <w:rPr>
          <w:b/>
          <w:color w:val="003769" w:themeColor="text2" w:themeShade="BF"/>
          <w:sz w:val="28"/>
          <w:szCs w:val="28"/>
        </w:rPr>
        <w:t xml:space="preserve"> - Mapování subjektů působících v aktivitách AI</w:t>
      </w:r>
    </w:p>
    <w:p w14:paraId="0811AA60" w14:textId="77777777" w:rsidR="00424BB1" w:rsidRPr="0042535F" w:rsidRDefault="00424BB1" w:rsidP="00605759">
      <w:pPr>
        <w:rPr>
          <w:b/>
          <w:color w:val="0B4161" w:themeColor="background2" w:themeShade="40"/>
          <w:sz w:val="24"/>
          <w:szCs w:val="24"/>
        </w:rPr>
      </w:pPr>
      <w:r w:rsidRPr="0042535F">
        <w:rPr>
          <w:b/>
          <w:color w:val="0B4161" w:themeColor="background2" w:themeShade="40"/>
          <w:sz w:val="24"/>
          <w:szCs w:val="24"/>
        </w:rPr>
        <w:t>Akademická sféra</w:t>
      </w:r>
      <w:r w:rsidR="002D189E" w:rsidRPr="0042535F">
        <w:rPr>
          <w:b/>
          <w:color w:val="0B4161" w:themeColor="background2" w:themeShade="40"/>
          <w:sz w:val="24"/>
          <w:szCs w:val="24"/>
        </w:rPr>
        <w:t xml:space="preserve"> </w:t>
      </w:r>
    </w:p>
    <w:p w14:paraId="28C1C9F7" w14:textId="77777777" w:rsidR="00424BB1" w:rsidRDefault="00424BB1" w:rsidP="00605759">
      <w:r w:rsidRPr="00A7134F">
        <w:rPr>
          <w:b/>
        </w:rPr>
        <w:t>Tabulka č. 1</w:t>
      </w:r>
      <w:r>
        <w:t xml:space="preserve"> – Instituce a počet FTE podílejících se na aktivitách v AI</w:t>
      </w:r>
    </w:p>
    <w:tbl>
      <w:tblPr>
        <w:tblW w:w="6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2460"/>
      </w:tblGrid>
      <w:tr w:rsidR="0042535F" w:rsidRPr="0042535F" w14:paraId="23EE9E6E" w14:textId="77777777" w:rsidTr="0042535F">
        <w:trPr>
          <w:trHeight w:val="330"/>
        </w:trPr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2D6DDF33" w14:textId="77777777" w:rsidR="0042535F" w:rsidRPr="0042535F" w:rsidRDefault="0042535F" w:rsidP="004253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INSTITUCE celkem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B187287" w14:textId="77777777" w:rsidR="0042535F" w:rsidRPr="0042535F" w:rsidRDefault="0042535F" w:rsidP="004253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celkově FTE</w:t>
            </w:r>
          </w:p>
        </w:tc>
      </w:tr>
      <w:tr w:rsidR="0042535F" w:rsidRPr="0042535F" w14:paraId="75BC2B60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09F55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ČVUT 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0E2D2A4B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224,9</w:t>
            </w:r>
          </w:p>
        </w:tc>
      </w:tr>
      <w:tr w:rsidR="0042535F" w:rsidRPr="0042535F" w14:paraId="61BF0D57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D9018D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VUT 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61D6BD7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71,6</w:t>
            </w:r>
          </w:p>
        </w:tc>
      </w:tr>
      <w:tr w:rsidR="0042535F" w:rsidRPr="0042535F" w14:paraId="1922911C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FB4B8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MFF UK 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D74E92F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81,3</w:t>
            </w:r>
          </w:p>
        </w:tc>
      </w:tr>
      <w:tr w:rsidR="0042535F" w:rsidRPr="0042535F" w14:paraId="3014D0A3" w14:textId="77777777" w:rsidTr="0042535F">
        <w:trPr>
          <w:trHeight w:val="315"/>
        </w:trPr>
        <w:tc>
          <w:tcPr>
            <w:tcW w:w="3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259B43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ITE TUL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63C24D1A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7,5</w:t>
            </w:r>
          </w:p>
        </w:tc>
      </w:tr>
      <w:tr w:rsidR="0042535F" w:rsidRPr="0042535F" w14:paraId="769AAEEC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94D02A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FI MU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D0291A8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50,46</w:t>
            </w:r>
          </w:p>
        </w:tc>
      </w:tr>
      <w:tr w:rsidR="0042535F" w:rsidRPr="0042535F" w14:paraId="5ED94992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358C39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ZCU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C511D2E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62</w:t>
            </w:r>
          </w:p>
        </w:tc>
      </w:tr>
      <w:tr w:rsidR="0042535F" w:rsidRPr="0042535F" w14:paraId="5E953ED4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E85A67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UPOL AI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CE0FEA0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16</w:t>
            </w:r>
          </w:p>
        </w:tc>
      </w:tr>
      <w:tr w:rsidR="0042535F" w:rsidRPr="0042535F" w14:paraId="6AE54313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982ADA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OSU UVAFM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4EB0ACE2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</w:tr>
      <w:tr w:rsidR="0042535F" w:rsidRPr="0042535F" w14:paraId="3315D058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4B1C18" w14:textId="77777777" w:rsidR="0042535F" w:rsidRPr="0042535F" w:rsidRDefault="008E0A8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hyperlink r:id="rId7" w:history="1">
              <w:r w:rsidR="0042535F" w:rsidRPr="0042535F">
                <w:rPr>
                  <w:rFonts w:ascii="Calibri" w:eastAsia="Times New Roman" w:hAnsi="Calibri" w:cs="Times New Roman"/>
                  <w:b/>
                  <w:bCs/>
                  <w:color w:val="000000"/>
                  <w:sz w:val="24"/>
                  <w:szCs w:val="24"/>
                  <w:lang w:eastAsia="cs-CZ"/>
                </w:rPr>
                <w:t>AI@VSE</w:t>
              </w:r>
            </w:hyperlink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481D002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9,3</w:t>
            </w:r>
          </w:p>
        </w:tc>
      </w:tr>
      <w:tr w:rsidR="0042535F" w:rsidRPr="0042535F" w14:paraId="6E904412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67DEF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VŠB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337A1BFB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59,2</w:t>
            </w:r>
          </w:p>
        </w:tc>
      </w:tr>
      <w:tr w:rsidR="0042535F" w:rsidRPr="0042535F" w14:paraId="5EE52472" w14:textId="77777777" w:rsidTr="0042535F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906937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1.LF</w:t>
            </w:r>
            <w:proofErr w:type="gramEnd"/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UK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5221346D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7,75</w:t>
            </w:r>
          </w:p>
        </w:tc>
      </w:tr>
      <w:tr w:rsidR="0042535F" w:rsidRPr="0042535F" w14:paraId="59D13AD0" w14:textId="77777777" w:rsidTr="0042535F">
        <w:trPr>
          <w:trHeight w:val="330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40401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AV ČR</w:t>
            </w:r>
          </w:p>
        </w:tc>
        <w:tc>
          <w:tcPr>
            <w:tcW w:w="2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14:paraId="700A64FD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color w:val="000000"/>
                <w:lang w:eastAsia="cs-CZ"/>
              </w:rPr>
              <w:t>58</w:t>
            </w:r>
          </w:p>
        </w:tc>
      </w:tr>
      <w:tr w:rsidR="0042535F" w:rsidRPr="0042535F" w14:paraId="7AD9BB22" w14:textId="77777777" w:rsidTr="0042535F">
        <w:trPr>
          <w:trHeight w:val="315"/>
        </w:trPr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C6E7"/>
            <w:noWrap/>
            <w:vAlign w:val="bottom"/>
            <w:hideMark/>
          </w:tcPr>
          <w:p w14:paraId="4ACA35F9" w14:textId="77777777" w:rsidR="0042535F" w:rsidRPr="0042535F" w:rsidRDefault="0042535F" w:rsidP="0042535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SOUČET</w:t>
            </w:r>
          </w:p>
        </w:tc>
        <w:tc>
          <w:tcPr>
            <w:tcW w:w="2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bottom"/>
            <w:hideMark/>
          </w:tcPr>
          <w:p w14:paraId="4A856753" w14:textId="77777777" w:rsidR="0042535F" w:rsidRPr="0042535F" w:rsidRDefault="0042535F" w:rsidP="0042535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2535F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678</w:t>
            </w:r>
          </w:p>
        </w:tc>
      </w:tr>
    </w:tbl>
    <w:p w14:paraId="0DECFB58" w14:textId="77777777" w:rsidR="00424BB1" w:rsidRDefault="00424BB1" w:rsidP="00605759"/>
    <w:p w14:paraId="57731956" w14:textId="77777777" w:rsidR="00424BB1" w:rsidRDefault="00424BB1" w:rsidP="00605759">
      <w:r w:rsidRPr="00A7134F">
        <w:rPr>
          <w:b/>
        </w:rPr>
        <w:t>Tabulka č. 2</w:t>
      </w:r>
      <w:r>
        <w:t xml:space="preserve"> – Struktura výzkumných pracovníků podle pracovišť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600"/>
        <w:gridCol w:w="1260"/>
        <w:gridCol w:w="1840"/>
        <w:gridCol w:w="1340"/>
        <w:gridCol w:w="1980"/>
      </w:tblGrid>
      <w:tr w:rsidR="002053F7" w:rsidRPr="002053F7" w14:paraId="42DB1D0E" w14:textId="77777777" w:rsidTr="002053F7">
        <w:trPr>
          <w:trHeight w:val="61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4DE946D" w14:textId="77777777" w:rsidR="002053F7" w:rsidRPr="002053F7" w:rsidRDefault="002053F7" w:rsidP="00205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INSTITUCE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39F0E188" w14:textId="112E58C6" w:rsidR="002053F7" w:rsidRPr="002053F7" w:rsidRDefault="002053F7" w:rsidP="00205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počet </w:t>
            </w:r>
            <w:proofErr w:type="spellStart"/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prac</w:t>
            </w:r>
            <w:proofErr w:type="spellEnd"/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.</w:t>
            </w:r>
            <w:r w:rsidR="002466EF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 </w:t>
            </w:r>
            <w:proofErr w:type="gramStart"/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ve</w:t>
            </w:r>
            <w:proofErr w:type="gramEnd"/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 </w:t>
            </w:r>
            <w:proofErr w:type="spellStart"/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VaV</w:t>
            </w:r>
            <w:proofErr w:type="spellEnd"/>
            <w:r w:rsidR="002466EF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6908E044" w14:textId="77777777" w:rsidR="002053F7" w:rsidRPr="002053F7" w:rsidRDefault="002053F7" w:rsidP="00205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z toho s Ph.D.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149083F2" w14:textId="77777777" w:rsidR="002053F7" w:rsidRPr="002053F7" w:rsidRDefault="002053F7" w:rsidP="00205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z toho </w:t>
            </w:r>
            <w:proofErr w:type="spellStart"/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excelent</w:t>
            </w:r>
            <w:proofErr w:type="spellEnd"/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. výzkumníků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07229C55" w14:textId="77777777" w:rsidR="002053F7" w:rsidRPr="002053F7" w:rsidRDefault="002053F7" w:rsidP="00205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celkově FTE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55D40BF2" w14:textId="77777777" w:rsidR="002053F7" w:rsidRPr="002053F7" w:rsidRDefault="002053F7" w:rsidP="00205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počet zapojených doktorandů</w:t>
            </w:r>
          </w:p>
        </w:tc>
      </w:tr>
      <w:tr w:rsidR="002053F7" w:rsidRPr="002053F7" w14:paraId="7028A34C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66944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ČVUT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144FA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366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FD442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EAC9D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0C532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224,9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9F7E9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143</w:t>
            </w:r>
          </w:p>
        </w:tc>
      </w:tr>
      <w:tr w:rsidR="002053F7" w:rsidRPr="002053F7" w14:paraId="4DDEC7D2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D8BE6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ITE TUL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CE8F9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259F2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16950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1F815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7,5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7052F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</w:tr>
      <w:tr w:rsidR="002053F7" w:rsidRPr="002053F7" w14:paraId="79FAC038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4A4C5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VUT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1FF79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279A1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109EE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6AD47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71,6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25104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54</w:t>
            </w:r>
          </w:p>
        </w:tc>
      </w:tr>
      <w:tr w:rsidR="002053F7" w:rsidRPr="002053F7" w14:paraId="01D3234A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D2645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UK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1FDB5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EDE06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60,2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85AC8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F72E4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89,1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74C32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51</w:t>
            </w:r>
          </w:p>
        </w:tc>
      </w:tr>
      <w:tr w:rsidR="002053F7" w:rsidRPr="002053F7" w14:paraId="441158C7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FD75F9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FI MU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38BC0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541BB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77BDF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80B27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50,46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0BBCC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</w:tr>
      <w:tr w:rsidR="002053F7" w:rsidRPr="002053F7" w14:paraId="2E270992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791B3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ZCU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D5DD7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5C478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EEE63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C07AE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F957F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41</w:t>
            </w:r>
          </w:p>
        </w:tc>
      </w:tr>
      <w:tr w:rsidR="002053F7" w:rsidRPr="002053F7" w14:paraId="01720327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6F71D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UPOL AI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2DB8A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D2C55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A5B46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C4E38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18040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</w:tr>
      <w:tr w:rsidR="002053F7" w:rsidRPr="002053F7" w14:paraId="41082301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F91DD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OSU UVAFM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B8296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D756B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E5F97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05F5E7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774C9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</w:tr>
      <w:tr w:rsidR="002053F7" w:rsidRPr="002053F7" w14:paraId="6C28AA84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3AAFD" w14:textId="77777777" w:rsidR="002053F7" w:rsidRPr="002053F7" w:rsidRDefault="008E0A8F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hyperlink r:id="rId8" w:history="1">
              <w:r w:rsidR="002053F7" w:rsidRPr="002053F7">
                <w:rPr>
                  <w:rFonts w:ascii="Calibri" w:eastAsia="Times New Roman" w:hAnsi="Calibri" w:cs="Times New Roman"/>
                  <w:b/>
                  <w:color w:val="000000"/>
                  <w:sz w:val="24"/>
                  <w:szCs w:val="24"/>
                  <w:lang w:eastAsia="cs-CZ"/>
                </w:rPr>
                <w:t>AI@VSE</w:t>
              </w:r>
            </w:hyperlink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38CA5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75C9A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983E70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014E6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9,3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E7699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</w:tr>
      <w:tr w:rsidR="002053F7" w:rsidRPr="002053F7" w14:paraId="2A7912DF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2691C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>VŠB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74B63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83E44F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AB89C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93A12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59,2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5B90E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27</w:t>
            </w:r>
          </w:p>
        </w:tc>
      </w:tr>
      <w:tr w:rsidR="002053F7" w:rsidRPr="002053F7" w14:paraId="500D9370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D5C51D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cs-CZ"/>
              </w:rPr>
              <w:t xml:space="preserve">AV ČR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A3AF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2241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F27E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C589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D2B0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</w:tr>
      <w:tr w:rsidR="002053F7" w:rsidRPr="002053F7" w14:paraId="210292A9" w14:textId="77777777" w:rsidTr="002053F7">
        <w:trPr>
          <w:trHeight w:val="315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33DDFFF0" w14:textId="77777777" w:rsidR="002053F7" w:rsidRPr="002053F7" w:rsidRDefault="002053F7" w:rsidP="002053F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9C65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b/>
                <w:color w:val="9C6500"/>
                <w:lang w:eastAsia="cs-CZ"/>
              </w:rPr>
              <w:t>SOUČET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66B06244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C65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9C6500"/>
                <w:lang w:eastAsia="cs-CZ"/>
              </w:rPr>
              <w:t>1 014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17B6C0DE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C65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9C6500"/>
                <w:lang w:eastAsia="cs-CZ"/>
              </w:rPr>
              <w:t>552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5911C948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C65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9C6500"/>
                <w:lang w:eastAsia="cs-CZ"/>
              </w:rPr>
              <w:t>167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1A63B7AF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C65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9C6500"/>
                <w:lang w:eastAsia="cs-CZ"/>
              </w:rPr>
              <w:t>678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7E8A76F5" w14:textId="77777777" w:rsidR="002053F7" w:rsidRPr="002053F7" w:rsidRDefault="002053F7" w:rsidP="002053F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C6500"/>
                <w:lang w:eastAsia="cs-CZ"/>
              </w:rPr>
            </w:pPr>
            <w:r w:rsidRPr="002053F7">
              <w:rPr>
                <w:rFonts w:ascii="Calibri" w:eastAsia="Times New Roman" w:hAnsi="Calibri" w:cs="Times New Roman"/>
                <w:color w:val="9C6500"/>
                <w:lang w:eastAsia="cs-CZ"/>
              </w:rPr>
              <w:t>416</w:t>
            </w:r>
          </w:p>
        </w:tc>
      </w:tr>
    </w:tbl>
    <w:p w14:paraId="1C1CC0D7" w14:textId="77777777" w:rsidR="00424BB1" w:rsidRDefault="00424BB1" w:rsidP="00605759"/>
    <w:p w14:paraId="161EB46D" w14:textId="77777777" w:rsidR="002D189E" w:rsidRDefault="002D189E" w:rsidP="00605759">
      <w:r>
        <w:br w:type="page"/>
      </w:r>
    </w:p>
    <w:p w14:paraId="32FC758B" w14:textId="77777777" w:rsidR="002D189E" w:rsidRDefault="002D189E" w:rsidP="00605759">
      <w:pPr>
        <w:sectPr w:rsidR="002D189E" w:rsidSect="00CC5E40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A3614F7" w14:textId="77777777" w:rsidR="002D189E" w:rsidRDefault="002D189E" w:rsidP="00605759"/>
    <w:p w14:paraId="27CEF570" w14:textId="77777777" w:rsidR="00424BB1" w:rsidRDefault="00424BB1" w:rsidP="00605759">
      <w:r w:rsidRPr="00A7134F">
        <w:rPr>
          <w:b/>
        </w:rPr>
        <w:t>Tabulka č. 3</w:t>
      </w:r>
      <w:r>
        <w:t xml:space="preserve"> – Struktura pracovišť podle metod, technologií a aplikačního odvětví</w:t>
      </w:r>
    </w:p>
    <w:p w14:paraId="49AA9BE2" w14:textId="65C2ACB5" w:rsidR="002D189E" w:rsidRDefault="00964A9E" w:rsidP="00605759">
      <w:r w:rsidRPr="00964A9E">
        <w:rPr>
          <w:noProof/>
          <w:lang w:eastAsia="cs-CZ"/>
        </w:rPr>
        <w:drawing>
          <wp:inline distT="0" distB="0" distL="0" distR="0" wp14:anchorId="2FD4025F" wp14:editId="62E37015">
            <wp:extent cx="9251950" cy="4722269"/>
            <wp:effectExtent l="0" t="0" r="635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72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5D159" w14:textId="77777777" w:rsidR="00964A9E" w:rsidRDefault="00964A9E" w:rsidP="00605759">
      <w:pPr>
        <w:rPr>
          <w:b/>
        </w:rPr>
      </w:pPr>
    </w:p>
    <w:p w14:paraId="1BCD2E8F" w14:textId="77777777" w:rsidR="00964A9E" w:rsidRDefault="00964A9E" w:rsidP="00605759">
      <w:pPr>
        <w:rPr>
          <w:b/>
        </w:rPr>
      </w:pPr>
    </w:p>
    <w:p w14:paraId="32C5CAB1" w14:textId="77777777" w:rsidR="00E3777B" w:rsidRDefault="00E3777B" w:rsidP="00605759">
      <w:r w:rsidRPr="00A7134F">
        <w:rPr>
          <w:b/>
        </w:rPr>
        <w:lastRenderedPageBreak/>
        <w:t>Tabulka č. 4</w:t>
      </w:r>
      <w:r>
        <w:t xml:space="preserve"> – Zdroje financování výzkumných týmů v AI (v tis. Kč)</w:t>
      </w:r>
    </w:p>
    <w:p w14:paraId="68FDAF8E" w14:textId="77777777" w:rsidR="00A7134F" w:rsidRDefault="00A7134F" w:rsidP="00605759"/>
    <w:tbl>
      <w:tblPr>
        <w:tblW w:w="1417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3"/>
        <w:gridCol w:w="2143"/>
        <w:gridCol w:w="1799"/>
        <w:gridCol w:w="1719"/>
        <w:gridCol w:w="1984"/>
        <w:gridCol w:w="1640"/>
        <w:gridCol w:w="1481"/>
        <w:gridCol w:w="1270"/>
      </w:tblGrid>
      <w:tr w:rsidR="00FC395D" w:rsidRPr="00FC395D" w14:paraId="43FCD892" w14:textId="77777777" w:rsidTr="00FC395D">
        <w:trPr>
          <w:trHeight w:val="857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7F89445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INSTITUCE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765CECE3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účelové české 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65F8A7CA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výzkumné evropské 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0F49DCCF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operační programy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1FA89E4F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institucionální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22CDFD84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průmyslové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53836900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zahraniční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14:paraId="735FF9BE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celkem</w:t>
            </w:r>
          </w:p>
        </w:tc>
      </w:tr>
      <w:tr w:rsidR="00FC395D" w:rsidRPr="00FC395D" w14:paraId="15A9ED12" w14:textId="77777777" w:rsidTr="00FC395D">
        <w:trPr>
          <w:trHeight w:val="439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3E44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ČVUT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9FC0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124 330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7BE9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37 758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A0D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69097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3F7B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46603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0515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99979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E7B3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3088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754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380855</w:t>
            </w:r>
          </w:p>
        </w:tc>
      </w:tr>
      <w:tr w:rsidR="00FC395D" w:rsidRPr="00FC395D" w14:paraId="5E8DAE0D" w14:textId="77777777" w:rsidTr="00FC395D">
        <w:trPr>
          <w:trHeight w:val="439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896B1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ITE TUL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9E543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5100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CF077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1D6C0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8759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5200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31225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200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BE072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1700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E4870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12200</w:t>
            </w:r>
          </w:p>
        </w:tc>
      </w:tr>
      <w:tr w:rsidR="00FC395D" w:rsidRPr="00FC395D" w14:paraId="4F056FDF" w14:textId="77777777" w:rsidTr="00FC395D">
        <w:trPr>
          <w:trHeight w:val="46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1FDB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VUT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0D6B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34614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9B43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27521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279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9223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B16D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7753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94F0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11996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9C38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7 202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F2CC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98084</w:t>
            </w:r>
          </w:p>
        </w:tc>
      </w:tr>
      <w:tr w:rsidR="00FC395D" w:rsidRPr="00FC395D" w14:paraId="2884F0D2" w14:textId="77777777" w:rsidTr="00FC395D">
        <w:trPr>
          <w:trHeight w:val="46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B034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UK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8DD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51 206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278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16140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54C2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6899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19290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926B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8320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EEBB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704C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112956</w:t>
            </w:r>
          </w:p>
        </w:tc>
      </w:tr>
      <w:tr w:rsidR="00FC395D" w:rsidRPr="00FC395D" w14:paraId="16D67F39" w14:textId="77777777" w:rsidTr="00FC395D">
        <w:trPr>
          <w:trHeight w:val="439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80A2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FI MU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8040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16373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CFF9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2800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4A3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1314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F42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13951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6F6D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766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8A62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C86A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35204</w:t>
            </w:r>
          </w:p>
        </w:tc>
      </w:tr>
      <w:tr w:rsidR="00FC395D" w:rsidRPr="00FC395D" w14:paraId="196E292C" w14:textId="77777777" w:rsidTr="00FC395D">
        <w:trPr>
          <w:trHeight w:val="46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7D48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ZCU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0940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21000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AAC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10000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558F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20000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0A7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6400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736E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2FC2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2F56D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61900</w:t>
            </w:r>
          </w:p>
        </w:tc>
      </w:tr>
      <w:tr w:rsidR="00FC395D" w:rsidRPr="00FC395D" w14:paraId="4B825173" w14:textId="77777777" w:rsidTr="00FC395D">
        <w:trPr>
          <w:trHeight w:val="46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36E8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UPOL AI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256B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1 000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4A1E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4F57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B2C5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17000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F44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10ED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9125C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19000</w:t>
            </w:r>
          </w:p>
        </w:tc>
      </w:tr>
      <w:tr w:rsidR="00FC395D" w:rsidRPr="00FC395D" w14:paraId="7F1BD71C" w14:textId="77777777" w:rsidTr="00FC395D">
        <w:trPr>
          <w:trHeight w:val="439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96B2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OSU UVAFM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1669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9619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9BA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2F07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FA95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28495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F435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570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5312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9ADC3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38684</w:t>
            </w:r>
          </w:p>
        </w:tc>
      </w:tr>
      <w:tr w:rsidR="00FC395D" w:rsidRPr="00FC395D" w14:paraId="2602CE9A" w14:textId="77777777" w:rsidTr="00FC395D">
        <w:trPr>
          <w:trHeight w:val="439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3761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563C1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auto"/>
                <w:sz w:val="24"/>
                <w:szCs w:val="24"/>
                <w:lang w:eastAsia="cs-CZ"/>
              </w:rPr>
              <w:t>AI@VSE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838B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897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364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FFE8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576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6103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CD8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6ABF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0C56E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7000</w:t>
            </w:r>
          </w:p>
        </w:tc>
      </w:tr>
      <w:tr w:rsidR="00FC395D" w:rsidRPr="00FC395D" w14:paraId="204B97BA" w14:textId="77777777" w:rsidTr="00FC395D">
        <w:trPr>
          <w:trHeight w:val="439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B8E9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VŠB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9E78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42 663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3F4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15824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7C67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7715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4273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16308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171B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3476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653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6B2F1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85986</w:t>
            </w:r>
          </w:p>
        </w:tc>
      </w:tr>
      <w:tr w:rsidR="00FC395D" w:rsidRPr="00FC395D" w14:paraId="0769792E" w14:textId="77777777" w:rsidTr="00FC395D">
        <w:trPr>
          <w:trHeight w:val="439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7BB0" w14:textId="77777777" w:rsidR="00FC395D" w:rsidRPr="002466EF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466E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AV ČR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BC7E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34000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186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500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C6BD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3000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17A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51500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3716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5500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2388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D864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000000"/>
                <w:lang w:eastAsia="cs-CZ"/>
              </w:rPr>
              <w:t>94500</w:t>
            </w:r>
          </w:p>
        </w:tc>
      </w:tr>
      <w:tr w:rsidR="00FC395D" w:rsidRPr="00FC395D" w14:paraId="613D665B" w14:textId="77777777" w:rsidTr="00FC395D">
        <w:trPr>
          <w:trHeight w:val="418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745A8F22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9C65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b/>
                <w:bCs/>
                <w:color w:val="9C6500"/>
                <w:lang w:eastAsia="cs-CZ"/>
              </w:rPr>
              <w:t>SOUČET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5131F8BF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9C57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9C5700"/>
                <w:lang w:eastAsia="cs-CZ"/>
              </w:rPr>
              <w:t>340 802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052098B9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9C57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9C5700"/>
                <w:lang w:eastAsia="cs-CZ"/>
              </w:rPr>
              <w:t>110 543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4E8FA2CF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9C57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9C5700"/>
                <w:lang w:eastAsia="cs-CZ"/>
              </w:rPr>
              <w:t>122 349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7765C27A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9C57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9C5700"/>
                <w:lang w:eastAsia="cs-CZ"/>
              </w:rPr>
              <w:t>218 603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15E2B603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9C57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9C5700"/>
                <w:lang w:eastAsia="cs-CZ"/>
              </w:rPr>
              <w:t>135 307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356D55F3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9C57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9C5700"/>
                <w:lang w:eastAsia="cs-CZ"/>
              </w:rPr>
              <w:t>11 990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bottom"/>
            <w:hideMark/>
          </w:tcPr>
          <w:p w14:paraId="3E872258" w14:textId="77777777" w:rsidR="00FC395D" w:rsidRPr="00FC395D" w:rsidRDefault="00FC395D" w:rsidP="00FC395D">
            <w:pPr>
              <w:spacing w:after="0" w:line="240" w:lineRule="auto"/>
              <w:rPr>
                <w:rFonts w:ascii="Calibri" w:eastAsia="Times New Roman" w:hAnsi="Calibri" w:cs="Times New Roman"/>
                <w:color w:val="9C5700"/>
                <w:lang w:eastAsia="cs-CZ"/>
              </w:rPr>
            </w:pPr>
            <w:r w:rsidRPr="00FC395D">
              <w:rPr>
                <w:rFonts w:ascii="Calibri" w:eastAsia="Times New Roman" w:hAnsi="Calibri" w:cs="Times New Roman"/>
                <w:color w:val="9C5700"/>
                <w:lang w:eastAsia="cs-CZ"/>
              </w:rPr>
              <w:t>946 369</w:t>
            </w:r>
          </w:p>
        </w:tc>
      </w:tr>
    </w:tbl>
    <w:p w14:paraId="0B8C897A" w14:textId="449837EE" w:rsidR="00FC395D" w:rsidRDefault="00FC395D" w:rsidP="00FC395D">
      <w:pPr>
        <w:spacing w:after="200" w:line="276" w:lineRule="auto"/>
        <w:sectPr w:rsidR="00FC395D" w:rsidSect="002D189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C74BEA8" w14:textId="77777777" w:rsidR="002D189E" w:rsidRPr="00A7134F" w:rsidRDefault="002D189E" w:rsidP="00605759">
      <w:pPr>
        <w:rPr>
          <w:b/>
          <w:color w:val="0B4161" w:themeColor="background2" w:themeShade="40"/>
          <w:sz w:val="28"/>
          <w:szCs w:val="28"/>
        </w:rPr>
      </w:pPr>
      <w:r w:rsidRPr="00A7134F">
        <w:rPr>
          <w:b/>
          <w:color w:val="0B4161" w:themeColor="background2" w:themeShade="40"/>
          <w:sz w:val="28"/>
          <w:szCs w:val="28"/>
        </w:rPr>
        <w:lastRenderedPageBreak/>
        <w:t>Soukromý sektor</w:t>
      </w:r>
    </w:p>
    <w:p w14:paraId="45C2E229" w14:textId="77777777" w:rsidR="005C3659" w:rsidRPr="00560AFC" w:rsidRDefault="00D440AD" w:rsidP="0042535F">
      <w:pPr>
        <w:spacing w:after="0" w:line="240" w:lineRule="auto"/>
        <w:jc w:val="both"/>
      </w:pPr>
      <w:r>
        <w:t>V České republice působí</w:t>
      </w:r>
      <w:r w:rsidR="00560AFC">
        <w:t xml:space="preserve"> dle předpokladů expertů</w:t>
      </w:r>
      <w:r>
        <w:t xml:space="preserve"> stovky subjektů</w:t>
      </w:r>
      <w:r w:rsidR="00D4471C">
        <w:t xml:space="preserve"> </w:t>
      </w:r>
      <w:r>
        <w:t>provádějí</w:t>
      </w:r>
      <w:r w:rsidR="00D4471C">
        <w:t>cích</w:t>
      </w:r>
      <w:r>
        <w:t xml:space="preserve"> aplikovaný výzkum v oblasti umělé inteligence. Desít</w:t>
      </w:r>
      <w:r w:rsidR="00D4471C">
        <w:t>ky</w:t>
      </w:r>
      <w:r>
        <w:t xml:space="preserve"> soukromých institucí</w:t>
      </w:r>
      <w:r w:rsidR="00D4471C">
        <w:t xml:space="preserve"> jsou</w:t>
      </w:r>
      <w:r>
        <w:t xml:space="preserve"> zapojen</w:t>
      </w:r>
      <w:r w:rsidR="00D4471C">
        <w:t>y</w:t>
      </w:r>
      <w:r>
        <w:t xml:space="preserve"> do základního výzkumu</w:t>
      </w:r>
      <w:r w:rsidR="00D4471C">
        <w:t xml:space="preserve"> v oblasti AI</w:t>
      </w:r>
      <w:r>
        <w:t xml:space="preserve">. Dle prvotního vyhodnocení </w:t>
      </w:r>
      <w:r w:rsidR="00D4471C">
        <w:t xml:space="preserve">mapování firemního AI prostředí, provedeného Svazem průmyslu a dopravy ČR, </w:t>
      </w:r>
      <w:r>
        <w:t>byly vytvořeny analytické závěry ukazující rozložení mezi jednotlivé aplikační metody, sektory a oblasti.</w:t>
      </w:r>
      <w:r w:rsidR="00BC2E06">
        <w:t xml:space="preserve"> Mapování bylo uskutečněno </w:t>
      </w:r>
      <w:r w:rsidR="00560AFC">
        <w:t xml:space="preserve">tak, aby </w:t>
      </w:r>
      <w:r w:rsidR="00560AFC" w:rsidRPr="0042535F">
        <w:t>Národní strategie mohla být založena na reálných datech a znalosti praxe. Proto jsme sbírali kvantitativní data o výzkumu, vývoji a výrobě algoritmů a software pro AI, ale i o využití AI v ČR.</w:t>
      </w:r>
      <w:r w:rsidR="00560AFC">
        <w:t xml:space="preserve"> Mapování bude kontinuálně pokračovat a bude pravidelně vyhodnocováno. </w:t>
      </w:r>
      <w:r w:rsidR="0007797C">
        <w:t>Čísla byla zaokrouhlena podle pravidel zaokrouhlování, aby byly výsledky co nejpřesnější.</w:t>
      </w:r>
      <w:r w:rsidR="00420454">
        <w:t xml:space="preserve"> </w:t>
      </w:r>
      <w:r w:rsidR="00560AFC">
        <w:t>Pro účely mapování byla oslovena členská základna Svazu průmyslu a dopravy ČR, všech dalších členských asociací a organizací a široká veřejnost – celkem tak byly osloveny tisíce subjektů, z nichž se do mapování rozhodlo zapojit v této fázi 50 firem.</w:t>
      </w:r>
    </w:p>
    <w:p w14:paraId="606B2266" w14:textId="77777777" w:rsidR="00560AFC" w:rsidRDefault="00560AFC" w:rsidP="00605759"/>
    <w:p w14:paraId="0913854A" w14:textId="77777777" w:rsidR="005C3659" w:rsidRDefault="005C3659" w:rsidP="00605759">
      <w:r w:rsidRPr="005769F5">
        <w:rPr>
          <w:b/>
        </w:rPr>
        <w:t xml:space="preserve">Tabulka č. </w:t>
      </w:r>
      <w:r w:rsidR="0007797C" w:rsidRPr="005769F5">
        <w:rPr>
          <w:b/>
        </w:rPr>
        <w:t>5</w:t>
      </w:r>
      <w:r w:rsidR="006026E3">
        <w:t xml:space="preserve"> </w:t>
      </w:r>
      <w:r>
        <w:t>– Aplikační oblasti vývoje AI</w:t>
      </w:r>
    </w:p>
    <w:tbl>
      <w:tblPr>
        <w:tblW w:w="6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2180"/>
      </w:tblGrid>
      <w:tr w:rsidR="005C3659" w:rsidRPr="005C3659" w14:paraId="5B43AAC8" w14:textId="77777777" w:rsidTr="005C3659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CED2061" w14:textId="77777777" w:rsidR="005C3659" w:rsidRPr="00420454" w:rsidRDefault="005C3659" w:rsidP="005C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cs-CZ"/>
              </w:rPr>
            </w:pPr>
            <w:r w:rsidRPr="0042045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cs-CZ"/>
              </w:rPr>
              <w:t>Aplikační oblasti vývoje AI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000016E" w14:textId="77777777" w:rsidR="005C3659" w:rsidRPr="00420454" w:rsidRDefault="005C3659" w:rsidP="005C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cs-CZ"/>
              </w:rPr>
            </w:pPr>
            <w:r w:rsidRPr="0042045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cs-CZ"/>
              </w:rPr>
              <w:t>Celkový podíl v %</w:t>
            </w:r>
          </w:p>
        </w:tc>
      </w:tr>
      <w:tr w:rsidR="005C3659" w:rsidRPr="005C3659" w14:paraId="1C415BE9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DFBA1FB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Informační a komunikační činn</w:t>
            </w: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osti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0688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66%</w:t>
            </w:r>
          </w:p>
        </w:tc>
      </w:tr>
      <w:tr w:rsidR="005C3659" w:rsidRPr="005C3659" w14:paraId="658ABDBC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26FBE95" w14:textId="77777777" w:rsidR="005C3659" w:rsidRPr="005C3659" w:rsidRDefault="00420454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Profesní věde</w:t>
            </w:r>
            <w:r w:rsidR="005C3659"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cké a technické činnosti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11CC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32%</w:t>
            </w:r>
          </w:p>
        </w:tc>
      </w:tr>
      <w:tr w:rsidR="005C3659" w:rsidRPr="005C3659" w14:paraId="6106E3E7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69DD474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Bezpečnost a obrana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22FC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23%</w:t>
            </w:r>
          </w:p>
        </w:tc>
      </w:tr>
      <w:tr w:rsidR="005C3659" w:rsidRPr="005C3659" w14:paraId="5DACF3D0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0620442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Marketing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5509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30%</w:t>
            </w:r>
          </w:p>
        </w:tc>
      </w:tr>
      <w:tr w:rsidR="005C3659" w:rsidRPr="005C3659" w14:paraId="37DD78C1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F125F95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Firemní management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BBFC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17%</w:t>
            </w:r>
          </w:p>
        </w:tc>
      </w:tr>
      <w:tr w:rsidR="005C3659" w:rsidRPr="005C3659" w14:paraId="7CAD3C68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66E6585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Peněžnictví a pojišťovnictví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7E41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26%</w:t>
            </w:r>
          </w:p>
        </w:tc>
      </w:tr>
      <w:tr w:rsidR="005C3659" w:rsidRPr="005C3659" w14:paraId="7EBB6550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CF355D9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Letecký průzkum země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273F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9%</w:t>
            </w:r>
          </w:p>
        </w:tc>
      </w:tr>
      <w:tr w:rsidR="005C3659" w:rsidRPr="005C3659" w14:paraId="31D81BC6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62AAE90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Logistika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B7EE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17%</w:t>
            </w:r>
          </w:p>
        </w:tc>
      </w:tr>
      <w:tr w:rsidR="005C3659" w:rsidRPr="005C3659" w14:paraId="7C976D27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AAE4D80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Zpracovatelský průmysl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07C9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17%</w:t>
            </w:r>
          </w:p>
        </w:tc>
      </w:tr>
      <w:tr w:rsidR="005C3659" w:rsidRPr="005C3659" w14:paraId="3B2AA155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84367C7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Podpora business procesů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2BD0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45%</w:t>
            </w:r>
          </w:p>
        </w:tc>
      </w:tr>
      <w:tr w:rsidR="005C3659" w:rsidRPr="005C3659" w14:paraId="1C1F114D" w14:textId="77777777" w:rsidTr="005C3659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D7BFA64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Jiné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B73A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26%</w:t>
            </w:r>
          </w:p>
        </w:tc>
      </w:tr>
    </w:tbl>
    <w:p w14:paraId="6EE779A8" w14:textId="77777777" w:rsidR="005C3659" w:rsidRDefault="005C3659" w:rsidP="00605759"/>
    <w:p w14:paraId="41331532" w14:textId="77777777" w:rsidR="005C3659" w:rsidRDefault="00767781" w:rsidP="00605759">
      <w:r w:rsidRPr="005769F5">
        <w:rPr>
          <w:b/>
        </w:rPr>
        <w:t>Graf č. 1</w:t>
      </w:r>
      <w:r w:rsidR="005C3659">
        <w:t xml:space="preserve"> – Aplikační oblasti vývoje AI</w:t>
      </w:r>
    </w:p>
    <w:p w14:paraId="5FC1000B" w14:textId="77777777" w:rsidR="005C3659" w:rsidRDefault="005C3659" w:rsidP="00605759"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353216A8" wp14:editId="5D9BFB3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4857750" cy="3343766"/>
            <wp:effectExtent l="0" t="0" r="0" b="9525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3437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BA0E2" w14:textId="77777777" w:rsidR="005C3659" w:rsidRDefault="005C3659" w:rsidP="00605759"/>
    <w:p w14:paraId="46C7AD62" w14:textId="77777777" w:rsidR="002D189E" w:rsidRDefault="00D440AD" w:rsidP="00605759">
      <w:r>
        <w:t xml:space="preserve">  </w:t>
      </w:r>
    </w:p>
    <w:p w14:paraId="755353AD" w14:textId="77777777" w:rsidR="00424BB1" w:rsidRDefault="00424BB1" w:rsidP="00605759"/>
    <w:p w14:paraId="18BE1434" w14:textId="77777777" w:rsidR="005C3659" w:rsidRDefault="005C3659" w:rsidP="00605759"/>
    <w:p w14:paraId="4F19C836" w14:textId="77777777" w:rsidR="005C3659" w:rsidRDefault="005C3659" w:rsidP="00605759"/>
    <w:p w14:paraId="2B2297BC" w14:textId="77777777" w:rsidR="005C3659" w:rsidRDefault="005C3659" w:rsidP="00605759"/>
    <w:p w14:paraId="6923D226" w14:textId="77777777" w:rsidR="005C3659" w:rsidRDefault="005C3659" w:rsidP="00605759"/>
    <w:p w14:paraId="1E41E741" w14:textId="77777777" w:rsidR="005C3659" w:rsidRDefault="005C3659" w:rsidP="00605759"/>
    <w:p w14:paraId="61516E38" w14:textId="77777777" w:rsidR="005C3659" w:rsidRDefault="005C3659" w:rsidP="00605759"/>
    <w:p w14:paraId="0BFE50BC" w14:textId="77777777" w:rsidR="005C3659" w:rsidRDefault="005C3659" w:rsidP="00605759"/>
    <w:p w14:paraId="366BEF79" w14:textId="77777777" w:rsidR="005C3659" w:rsidRDefault="005C3659" w:rsidP="00605759"/>
    <w:p w14:paraId="65CED11E" w14:textId="77777777" w:rsidR="005769F5" w:rsidRDefault="005769F5" w:rsidP="00605759"/>
    <w:p w14:paraId="4A3955C6" w14:textId="77777777" w:rsidR="005C3659" w:rsidRDefault="0007797C" w:rsidP="00605759">
      <w:r w:rsidRPr="005769F5">
        <w:rPr>
          <w:b/>
        </w:rPr>
        <w:lastRenderedPageBreak/>
        <w:t>Tabulka č. 6</w:t>
      </w:r>
      <w:r w:rsidR="005C3659" w:rsidRPr="005769F5">
        <w:rPr>
          <w:b/>
        </w:rPr>
        <w:t xml:space="preserve"> </w:t>
      </w:r>
      <w:r w:rsidR="005C3659">
        <w:t>– Využívané metody v AI</w:t>
      </w:r>
    </w:p>
    <w:tbl>
      <w:tblPr>
        <w:tblW w:w="6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2380"/>
      </w:tblGrid>
      <w:tr w:rsidR="005C3659" w:rsidRPr="005C3659" w14:paraId="20594BB0" w14:textId="77777777" w:rsidTr="005C3659">
        <w:trPr>
          <w:trHeight w:val="25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49C59A9" w14:textId="77777777" w:rsidR="005C3659" w:rsidRPr="005C3659" w:rsidRDefault="005C3659" w:rsidP="005C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Využívané metody v AI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D285BDF" w14:textId="77777777" w:rsidR="005C3659" w:rsidRPr="005C3659" w:rsidRDefault="005C3659" w:rsidP="005C36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Celkový podíl v %</w:t>
            </w:r>
          </w:p>
        </w:tc>
      </w:tr>
      <w:tr w:rsidR="005C3659" w:rsidRPr="005C3659" w14:paraId="2E9E08C2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CB951F7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Data science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3EF6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57%</w:t>
            </w:r>
          </w:p>
        </w:tc>
      </w:tr>
      <w:tr w:rsidR="005C3659" w:rsidRPr="005C3659" w14:paraId="491987C6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FC2C673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Strojové učení (vč. hlubokého učení)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3105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79%</w:t>
            </w:r>
          </w:p>
        </w:tc>
      </w:tr>
      <w:tr w:rsidR="005C3659" w:rsidRPr="005C3659" w14:paraId="38606065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37A939D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Distribuované autonomní systémy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E253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9%</w:t>
            </w:r>
          </w:p>
        </w:tc>
      </w:tr>
      <w:tr w:rsidR="005C3659" w:rsidRPr="005C3659" w14:paraId="723895D3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45EDF27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Automatické vyvozování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BA8E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19%</w:t>
            </w:r>
          </w:p>
        </w:tc>
      </w:tr>
      <w:tr w:rsidR="005C3659" w:rsidRPr="005C3659" w14:paraId="45900495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FD8C15A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Plánování, rozvrhování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83B8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19%</w:t>
            </w:r>
          </w:p>
        </w:tc>
      </w:tr>
      <w:tr w:rsidR="005C3659" w:rsidRPr="005C3659" w14:paraId="19AEC874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10CA0B2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Zpracování řeči a přirozeného jazyka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9AF7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47%</w:t>
            </w:r>
          </w:p>
        </w:tc>
      </w:tr>
      <w:tr w:rsidR="005C3659" w:rsidRPr="005C3659" w14:paraId="1CC59631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14CD1FF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Strojové vnímání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04E4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21%</w:t>
            </w:r>
          </w:p>
        </w:tc>
      </w:tr>
      <w:tr w:rsidR="005C3659" w:rsidRPr="005C3659" w14:paraId="38B29ED5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31F96D6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Autonomní robotika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830E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11%</w:t>
            </w:r>
          </w:p>
        </w:tc>
      </w:tr>
      <w:tr w:rsidR="005C3659" w:rsidRPr="005C3659" w14:paraId="4FED7DCD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78416B0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Simulace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3873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28%</w:t>
            </w:r>
          </w:p>
        </w:tc>
      </w:tr>
      <w:tr w:rsidR="005C3659" w:rsidRPr="005C3659" w14:paraId="6D117B7B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4FFFC22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Počítačové vidění a grafika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9C50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49%</w:t>
            </w:r>
          </w:p>
        </w:tc>
      </w:tr>
      <w:tr w:rsidR="005C3659" w:rsidRPr="005C3659" w14:paraId="17AE1DE9" w14:textId="77777777" w:rsidTr="005C3659">
        <w:trPr>
          <w:trHeight w:val="25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2BB1664" w14:textId="77777777" w:rsidR="005C3659" w:rsidRPr="005C3659" w:rsidRDefault="005C3659" w:rsidP="005C3659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Jiné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EC24" w14:textId="77777777" w:rsidR="005C3659" w:rsidRPr="005C3659" w:rsidRDefault="005C3659" w:rsidP="005C36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9%</w:t>
            </w:r>
          </w:p>
        </w:tc>
      </w:tr>
    </w:tbl>
    <w:p w14:paraId="0DBE3ECD" w14:textId="77777777" w:rsidR="005C3659" w:rsidRDefault="005C3659" w:rsidP="00605759"/>
    <w:p w14:paraId="567BF911" w14:textId="77777777" w:rsidR="005769F5" w:rsidRDefault="005769F5" w:rsidP="00605759"/>
    <w:p w14:paraId="6D0EDCA9" w14:textId="77777777" w:rsidR="005C3659" w:rsidRDefault="00767781" w:rsidP="00605759">
      <w:r w:rsidRPr="005769F5">
        <w:rPr>
          <w:b/>
        </w:rPr>
        <w:t>Graf č. 2</w:t>
      </w:r>
      <w:r w:rsidR="005C3659">
        <w:t xml:space="preserve"> – Využívané metody v AI</w:t>
      </w:r>
    </w:p>
    <w:p w14:paraId="6E343747" w14:textId="77777777" w:rsidR="00BC2E06" w:rsidRDefault="00BC2E06" w:rsidP="00605759">
      <w:r>
        <w:rPr>
          <w:noProof/>
          <w:lang w:eastAsia="cs-CZ"/>
        </w:rPr>
        <w:drawing>
          <wp:inline distT="0" distB="0" distL="0" distR="0" wp14:anchorId="5C6021CC" wp14:editId="6EFD7B3A">
            <wp:extent cx="6120130" cy="3096260"/>
            <wp:effectExtent l="0" t="0" r="13970" b="15240"/>
            <wp:docPr id="16" name="Graf 1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AFC30187-B002-CC4B-AD62-D7FE91CFC83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439909B" w14:textId="77777777" w:rsidR="00767781" w:rsidRDefault="00767781" w:rsidP="00605759"/>
    <w:p w14:paraId="0F6D8738" w14:textId="77777777" w:rsidR="00767781" w:rsidRDefault="00767781" w:rsidP="00605759"/>
    <w:p w14:paraId="77E91AF3" w14:textId="77777777" w:rsidR="00767781" w:rsidRDefault="00767781" w:rsidP="00605759"/>
    <w:p w14:paraId="44BBD18A" w14:textId="77777777" w:rsidR="00767781" w:rsidRDefault="00767781" w:rsidP="00605759"/>
    <w:p w14:paraId="74627F4F" w14:textId="77777777" w:rsidR="00767781" w:rsidRDefault="00767781" w:rsidP="005769F5">
      <w:pPr>
        <w:spacing w:after="200" w:line="276" w:lineRule="auto"/>
      </w:pPr>
      <w:r>
        <w:br w:type="page"/>
      </w:r>
      <w:r w:rsidRPr="005769F5">
        <w:rPr>
          <w:b/>
        </w:rPr>
        <w:lastRenderedPageBreak/>
        <w:t xml:space="preserve">Tabulka č. </w:t>
      </w:r>
      <w:r w:rsidR="0007797C" w:rsidRPr="005769F5">
        <w:rPr>
          <w:b/>
        </w:rPr>
        <w:t>7</w:t>
      </w:r>
      <w:r w:rsidR="006026E3">
        <w:t xml:space="preserve"> </w:t>
      </w:r>
      <w:r>
        <w:t>– Počet R&amp;D pracovníků v AI</w:t>
      </w:r>
    </w:p>
    <w:tbl>
      <w:tblPr>
        <w:tblpPr w:leftFromText="141" w:rightFromText="141" w:vertAnchor="text" w:horzAnchor="margin" w:tblpY="-60"/>
        <w:tblW w:w="5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0"/>
        <w:gridCol w:w="1980"/>
      </w:tblGrid>
      <w:tr w:rsidR="00767781" w:rsidRPr="00767781" w14:paraId="63DA4872" w14:textId="77777777" w:rsidTr="00767781">
        <w:trPr>
          <w:trHeight w:val="510"/>
        </w:trPr>
        <w:tc>
          <w:tcPr>
            <w:tcW w:w="3920" w:type="dxa"/>
            <w:shd w:val="clear" w:color="000000" w:fill="8EA9DB"/>
            <w:vAlign w:val="bottom"/>
            <w:hideMark/>
          </w:tcPr>
          <w:p w14:paraId="01BAF449" w14:textId="77777777" w:rsidR="00767781" w:rsidRPr="00767781" w:rsidRDefault="00767781" w:rsidP="00767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Počet R&amp;D pracovníků v AI (ekvivalent na úvazek)</w:t>
            </w:r>
          </w:p>
        </w:tc>
        <w:tc>
          <w:tcPr>
            <w:tcW w:w="1980" w:type="dxa"/>
            <w:shd w:val="clear" w:color="000000" w:fill="8EA9DB"/>
            <w:vAlign w:val="bottom"/>
            <w:hideMark/>
          </w:tcPr>
          <w:p w14:paraId="7C3A4E49" w14:textId="77777777" w:rsidR="00767781" w:rsidRPr="00767781" w:rsidRDefault="00767781" w:rsidP="00767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Celkový podíl v %</w:t>
            </w:r>
          </w:p>
        </w:tc>
      </w:tr>
      <w:tr w:rsidR="00767781" w:rsidRPr="00767781" w14:paraId="3FBEC034" w14:textId="77777777" w:rsidTr="00767781">
        <w:trPr>
          <w:trHeight w:val="255"/>
        </w:trPr>
        <w:tc>
          <w:tcPr>
            <w:tcW w:w="3920" w:type="dxa"/>
            <w:shd w:val="clear" w:color="000000" w:fill="D9E1F2"/>
            <w:noWrap/>
            <w:vAlign w:val="bottom"/>
            <w:hideMark/>
          </w:tcPr>
          <w:p w14:paraId="481A2CFB" w14:textId="77777777" w:rsidR="00767781" w:rsidRPr="00767781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0,1 - 5 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2F3C84C8" w14:textId="77777777" w:rsidR="00767781" w:rsidRPr="00767781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48%</w:t>
            </w:r>
          </w:p>
        </w:tc>
      </w:tr>
      <w:tr w:rsidR="00767781" w:rsidRPr="00767781" w14:paraId="199D030D" w14:textId="77777777" w:rsidTr="00767781">
        <w:trPr>
          <w:trHeight w:val="255"/>
        </w:trPr>
        <w:tc>
          <w:tcPr>
            <w:tcW w:w="3920" w:type="dxa"/>
            <w:shd w:val="clear" w:color="000000" w:fill="D9E1F2"/>
            <w:noWrap/>
            <w:vAlign w:val="bottom"/>
            <w:hideMark/>
          </w:tcPr>
          <w:p w14:paraId="13E052AD" w14:textId="77777777" w:rsidR="00767781" w:rsidRPr="00767781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5,1 - 10 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FD06AC6" w14:textId="77777777" w:rsidR="00767781" w:rsidRPr="00767781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23%</w:t>
            </w:r>
          </w:p>
        </w:tc>
      </w:tr>
      <w:tr w:rsidR="00767781" w:rsidRPr="00767781" w14:paraId="57E78DAC" w14:textId="77777777" w:rsidTr="00767781">
        <w:trPr>
          <w:trHeight w:val="255"/>
        </w:trPr>
        <w:tc>
          <w:tcPr>
            <w:tcW w:w="3920" w:type="dxa"/>
            <w:shd w:val="clear" w:color="000000" w:fill="D9E1F2"/>
            <w:noWrap/>
            <w:vAlign w:val="bottom"/>
            <w:hideMark/>
          </w:tcPr>
          <w:p w14:paraId="378ACA63" w14:textId="77777777" w:rsidR="00767781" w:rsidRPr="00767781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10,1 - 15 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2830870" w14:textId="77777777" w:rsidR="00767781" w:rsidRPr="00767781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11%</w:t>
            </w:r>
          </w:p>
        </w:tc>
      </w:tr>
      <w:tr w:rsidR="00767781" w:rsidRPr="00767781" w14:paraId="7DB690C0" w14:textId="77777777" w:rsidTr="00767781">
        <w:trPr>
          <w:trHeight w:val="255"/>
        </w:trPr>
        <w:tc>
          <w:tcPr>
            <w:tcW w:w="3920" w:type="dxa"/>
            <w:shd w:val="clear" w:color="000000" w:fill="D9E1F2"/>
            <w:noWrap/>
            <w:vAlign w:val="bottom"/>
            <w:hideMark/>
          </w:tcPr>
          <w:p w14:paraId="6932E948" w14:textId="77777777" w:rsidR="00767781" w:rsidRPr="00767781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15,1 - 20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12C5B47" w14:textId="77777777" w:rsidR="00767781" w:rsidRPr="00767781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8%</w:t>
            </w:r>
          </w:p>
        </w:tc>
      </w:tr>
      <w:tr w:rsidR="00767781" w:rsidRPr="00767781" w14:paraId="1F8AA5CA" w14:textId="77777777" w:rsidTr="00767781">
        <w:trPr>
          <w:trHeight w:val="255"/>
        </w:trPr>
        <w:tc>
          <w:tcPr>
            <w:tcW w:w="3920" w:type="dxa"/>
            <w:shd w:val="clear" w:color="000000" w:fill="D9E1F2"/>
            <w:noWrap/>
            <w:vAlign w:val="bottom"/>
            <w:hideMark/>
          </w:tcPr>
          <w:p w14:paraId="5FDC0D69" w14:textId="77777777" w:rsidR="00767781" w:rsidRPr="00767781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20,1 - 50 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7FB5222" w14:textId="77777777" w:rsidR="00767781" w:rsidRPr="00767781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8%</w:t>
            </w:r>
          </w:p>
        </w:tc>
      </w:tr>
      <w:tr w:rsidR="00767781" w:rsidRPr="00767781" w14:paraId="652A83EE" w14:textId="77777777" w:rsidTr="00767781">
        <w:trPr>
          <w:trHeight w:val="255"/>
        </w:trPr>
        <w:tc>
          <w:tcPr>
            <w:tcW w:w="3920" w:type="dxa"/>
            <w:shd w:val="clear" w:color="000000" w:fill="D9E1F2"/>
            <w:noWrap/>
            <w:vAlign w:val="bottom"/>
            <w:hideMark/>
          </w:tcPr>
          <w:p w14:paraId="2506FC25" w14:textId="77777777" w:rsidR="00767781" w:rsidRPr="00767781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50,1 a více 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1803CF0A" w14:textId="77777777" w:rsidR="00767781" w:rsidRPr="00767781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2%</w:t>
            </w:r>
          </w:p>
        </w:tc>
      </w:tr>
    </w:tbl>
    <w:p w14:paraId="2B141E60" w14:textId="77777777" w:rsidR="00767781" w:rsidRDefault="00767781" w:rsidP="00605759"/>
    <w:p w14:paraId="3DDE0558" w14:textId="77777777" w:rsidR="00767781" w:rsidRDefault="00767781" w:rsidP="00605759"/>
    <w:p w14:paraId="097FCADA" w14:textId="77777777" w:rsidR="00767781" w:rsidRDefault="00767781" w:rsidP="00605759"/>
    <w:p w14:paraId="0695C46C" w14:textId="77777777" w:rsidR="00767781" w:rsidRDefault="00767781" w:rsidP="00605759"/>
    <w:p w14:paraId="3A9D11B1" w14:textId="77777777" w:rsidR="0007797C" w:rsidRDefault="0007797C" w:rsidP="00605759"/>
    <w:p w14:paraId="36BC7E74" w14:textId="77777777" w:rsidR="005769F5" w:rsidRDefault="005769F5" w:rsidP="00605759">
      <w:pPr>
        <w:rPr>
          <w:b/>
        </w:rPr>
      </w:pPr>
    </w:p>
    <w:p w14:paraId="784C0918" w14:textId="77777777" w:rsidR="00767781" w:rsidRDefault="0007797C" w:rsidP="00605759">
      <w:r w:rsidRPr="005769F5">
        <w:rPr>
          <w:b/>
        </w:rPr>
        <w:t>Graf č. 3</w:t>
      </w:r>
      <w:r>
        <w:t xml:space="preserve"> - Počet R&amp;D pracovníků v</w:t>
      </w:r>
      <w:r w:rsidR="005769F5">
        <w:t> </w:t>
      </w:r>
      <w:r>
        <w:t>AI</w:t>
      </w:r>
      <w:r w:rsidR="005769F5">
        <w:t xml:space="preserve"> (ekvivalent na úvazek)</w:t>
      </w:r>
    </w:p>
    <w:p w14:paraId="1805DF92" w14:textId="77777777" w:rsidR="00BC2E06" w:rsidRDefault="00BC2E06" w:rsidP="00605759">
      <w:r>
        <w:rPr>
          <w:noProof/>
          <w:lang w:eastAsia="cs-CZ"/>
        </w:rPr>
        <w:drawing>
          <wp:inline distT="0" distB="0" distL="0" distR="0" wp14:anchorId="04295191" wp14:editId="402ADBE7">
            <wp:extent cx="6120130" cy="3728085"/>
            <wp:effectExtent l="0" t="0" r="13970" b="5715"/>
            <wp:docPr id="19" name="Graf 19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F83FC7D4-8370-4740-B4BA-65F5B9D3287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45EB5A3" w14:textId="77777777" w:rsidR="00767781" w:rsidRDefault="00767781" w:rsidP="00605759"/>
    <w:p w14:paraId="306B00A3" w14:textId="77777777" w:rsidR="00767781" w:rsidRDefault="00767781" w:rsidP="00605759"/>
    <w:p w14:paraId="14043F90" w14:textId="77777777" w:rsidR="00767781" w:rsidRDefault="00767781" w:rsidP="00605759"/>
    <w:p w14:paraId="020742B2" w14:textId="77777777" w:rsidR="00767781" w:rsidRDefault="00767781" w:rsidP="00605759"/>
    <w:p w14:paraId="6B964FCC" w14:textId="77777777" w:rsidR="00767781" w:rsidRDefault="00767781" w:rsidP="00605759"/>
    <w:p w14:paraId="00803A9A" w14:textId="77777777" w:rsidR="00767781" w:rsidRDefault="00767781" w:rsidP="00605759"/>
    <w:p w14:paraId="5254E94E" w14:textId="77777777" w:rsidR="00767781" w:rsidRDefault="00767781" w:rsidP="00605759"/>
    <w:p w14:paraId="1E873A7E" w14:textId="77777777" w:rsidR="00767781" w:rsidRDefault="00767781" w:rsidP="00605759"/>
    <w:p w14:paraId="44DBBAF5" w14:textId="77777777" w:rsidR="005769F5" w:rsidRDefault="005769F5" w:rsidP="00767781"/>
    <w:p w14:paraId="3CA011E9" w14:textId="77777777" w:rsidR="00767781" w:rsidRDefault="00767781" w:rsidP="00767781">
      <w:r w:rsidRPr="005769F5">
        <w:rPr>
          <w:b/>
        </w:rPr>
        <w:lastRenderedPageBreak/>
        <w:t xml:space="preserve">Tabulka č. </w:t>
      </w:r>
      <w:r w:rsidR="0007797C" w:rsidRPr="005769F5">
        <w:rPr>
          <w:b/>
        </w:rPr>
        <w:t>8</w:t>
      </w:r>
      <w:r w:rsidRPr="005769F5">
        <w:rPr>
          <w:b/>
        </w:rPr>
        <w:t xml:space="preserve"> </w:t>
      </w:r>
      <w:r>
        <w:t>– Aplikační sektory</w:t>
      </w:r>
    </w:p>
    <w:tbl>
      <w:tblPr>
        <w:tblW w:w="56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9"/>
        <w:gridCol w:w="2874"/>
      </w:tblGrid>
      <w:tr w:rsidR="00767781" w:rsidRPr="005C3659" w14:paraId="0F2FDBFF" w14:textId="77777777" w:rsidTr="0042535F">
        <w:trPr>
          <w:trHeight w:val="252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3DBE75E" w14:textId="77777777" w:rsidR="00767781" w:rsidRPr="005C3659" w:rsidRDefault="00767781" w:rsidP="00425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Aplikační sektory výsledných produktů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0647E52E" w14:textId="77777777" w:rsidR="00767781" w:rsidRPr="005C3659" w:rsidRDefault="00767781" w:rsidP="00425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Podíl na celku</w:t>
            </w:r>
          </w:p>
        </w:tc>
      </w:tr>
      <w:tr w:rsidR="00767781" w:rsidRPr="005C3659" w14:paraId="45AC4C6F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A1787A6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Kybernetická bezpečnost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C61E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23%</w:t>
            </w:r>
          </w:p>
        </w:tc>
      </w:tr>
      <w:tr w:rsidR="00767781" w:rsidRPr="005C3659" w14:paraId="6E3D14C6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DFD0880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Mezisektorové aplikace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0FF5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13%</w:t>
            </w:r>
          </w:p>
        </w:tc>
      </w:tr>
      <w:tr w:rsidR="00767781" w:rsidRPr="005C3659" w14:paraId="4B0F2668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852E9FD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Zdravotnictví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64B4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21%</w:t>
            </w:r>
          </w:p>
        </w:tc>
      </w:tr>
      <w:tr w:rsidR="00767781" w:rsidRPr="005C3659" w14:paraId="1978A586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F413588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Podnikové AI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5C67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45%</w:t>
            </w:r>
          </w:p>
        </w:tc>
      </w:tr>
      <w:tr w:rsidR="00767781" w:rsidRPr="005C3659" w14:paraId="6BF08B4E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472D1CF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Robotika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BAA9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21%</w:t>
            </w:r>
          </w:p>
        </w:tc>
      </w:tr>
      <w:tr w:rsidR="00767781" w:rsidRPr="005C3659" w14:paraId="08299B21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61D2C18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Marketing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58D5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30%</w:t>
            </w:r>
          </w:p>
        </w:tc>
      </w:tr>
      <w:tr w:rsidR="00767781" w:rsidRPr="005C3659" w14:paraId="5357216F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F30F9DC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Peněžnictví a pojišťovnictví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4197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32%</w:t>
            </w:r>
          </w:p>
        </w:tc>
      </w:tr>
      <w:tr w:rsidR="00767781" w:rsidRPr="005C3659" w14:paraId="0DDA7C71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0AA8886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Automotive</w:t>
            </w:r>
            <w:proofErr w:type="spellEnd"/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576B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26%</w:t>
            </w:r>
          </w:p>
        </w:tc>
      </w:tr>
      <w:tr w:rsidR="00767781" w:rsidRPr="005C3659" w14:paraId="3A988CB5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1E4A2FE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Internet věcí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96A2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21%</w:t>
            </w:r>
          </w:p>
        </w:tc>
      </w:tr>
      <w:tr w:rsidR="00767781" w:rsidRPr="005C3659" w14:paraId="377A6C65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95ADD04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Obchodování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8D15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15%</w:t>
            </w:r>
          </w:p>
        </w:tc>
      </w:tr>
      <w:tr w:rsidR="00767781" w:rsidRPr="005C3659" w14:paraId="002B329D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E9D2BA4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Předpisy a normy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2153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6%</w:t>
            </w:r>
          </w:p>
        </w:tc>
      </w:tr>
      <w:tr w:rsidR="00767781" w:rsidRPr="005C3659" w14:paraId="10C0E5C8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4417320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Hardware pro AI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4E0C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6%</w:t>
            </w:r>
          </w:p>
        </w:tc>
      </w:tr>
      <w:tr w:rsidR="00767781" w:rsidRPr="005C3659" w14:paraId="519FDA64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33BD0EB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Hardware obecně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A81B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4%</w:t>
            </w:r>
          </w:p>
        </w:tc>
      </w:tr>
      <w:tr w:rsidR="00767781" w:rsidRPr="005C3659" w14:paraId="382C0BBB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C8A0C36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Média a zpravodajství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644F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21%</w:t>
            </w:r>
          </w:p>
        </w:tc>
      </w:tr>
      <w:tr w:rsidR="00767781" w:rsidRPr="005C3659" w14:paraId="44F135C3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CCAE765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Výuka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B4BA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21%</w:t>
            </w:r>
          </w:p>
        </w:tc>
      </w:tr>
      <w:tr w:rsidR="00767781" w:rsidRPr="005C3659" w14:paraId="6749A8B3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4A84CC8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Průzkum země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97C7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9%</w:t>
            </w:r>
          </w:p>
        </w:tc>
      </w:tr>
      <w:tr w:rsidR="00767781" w:rsidRPr="005C3659" w14:paraId="790833FE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FD9BB2A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Zemědělství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EF75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6%</w:t>
            </w:r>
          </w:p>
        </w:tc>
      </w:tr>
      <w:tr w:rsidR="00767781" w:rsidRPr="005C3659" w14:paraId="792D62AA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ABF84F8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Bezpečnost fyzická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F4F0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2%</w:t>
            </w:r>
          </w:p>
        </w:tc>
      </w:tr>
      <w:tr w:rsidR="00767781" w:rsidRPr="005C3659" w14:paraId="583D1AEE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D2F1EE6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Humanitní vědy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433B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6%</w:t>
            </w:r>
          </w:p>
        </w:tc>
      </w:tr>
      <w:tr w:rsidR="00767781" w:rsidRPr="005C3659" w14:paraId="0CC11776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B3EF6E6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IT a sítě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B89B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17%</w:t>
            </w:r>
          </w:p>
        </w:tc>
      </w:tr>
      <w:tr w:rsidR="00767781" w:rsidRPr="005C3659" w14:paraId="1A55076F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6ADB4CD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Právní 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F963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11%</w:t>
            </w:r>
          </w:p>
        </w:tc>
      </w:tr>
      <w:tr w:rsidR="00767781" w:rsidRPr="005C3659" w14:paraId="4F871423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B0AF734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Cestování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6379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2%</w:t>
            </w:r>
          </w:p>
        </w:tc>
      </w:tr>
      <w:tr w:rsidR="00767781" w:rsidRPr="005C3659" w14:paraId="3B4AC3D1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C1C743C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SW vývoj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DC64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30%</w:t>
            </w:r>
          </w:p>
        </w:tc>
      </w:tr>
      <w:tr w:rsidR="00767781" w:rsidRPr="005C3659" w14:paraId="3C5482E7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E46FA73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Osobní asistenti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D93B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19%</w:t>
            </w:r>
          </w:p>
        </w:tc>
      </w:tr>
      <w:tr w:rsidR="00767781" w:rsidRPr="005C3659" w14:paraId="6C0271D7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12EA2ED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Sport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0AC1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2%</w:t>
            </w:r>
          </w:p>
        </w:tc>
      </w:tr>
      <w:tr w:rsidR="00767781" w:rsidRPr="005C3659" w14:paraId="24EAFDE0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4D63C3E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E-sporty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E92C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2%</w:t>
            </w:r>
          </w:p>
        </w:tc>
      </w:tr>
      <w:tr w:rsidR="00767781" w:rsidRPr="005C3659" w14:paraId="223E3234" w14:textId="77777777" w:rsidTr="0042535F">
        <w:trPr>
          <w:trHeight w:val="252"/>
        </w:trPr>
        <w:tc>
          <w:tcPr>
            <w:tcW w:w="2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61A3963" w14:textId="77777777" w:rsidR="00767781" w:rsidRPr="005C3659" w:rsidRDefault="00767781" w:rsidP="0042535F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Jiné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81F4" w14:textId="77777777" w:rsidR="00767781" w:rsidRPr="005C3659" w:rsidRDefault="00767781" w:rsidP="0042535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5C3659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21%</w:t>
            </w:r>
          </w:p>
        </w:tc>
      </w:tr>
    </w:tbl>
    <w:p w14:paraId="4718B015" w14:textId="77777777" w:rsidR="00767781" w:rsidRDefault="00767781" w:rsidP="00767781"/>
    <w:p w14:paraId="19280281" w14:textId="77777777" w:rsidR="00767781" w:rsidRDefault="00767781" w:rsidP="00767781">
      <w:r w:rsidRPr="005769F5">
        <w:rPr>
          <w:b/>
          <w:noProof/>
          <w:lang w:eastAsia="cs-CZ"/>
        </w:rPr>
        <w:drawing>
          <wp:anchor distT="0" distB="0" distL="114300" distR="114300" simplePos="0" relativeHeight="251666432" behindDoc="1" locked="0" layoutInCell="1" allowOverlap="1" wp14:anchorId="1B4E7F6F" wp14:editId="2D7B93ED">
            <wp:simplePos x="0" y="0"/>
            <wp:positionH relativeFrom="margin">
              <wp:align>right</wp:align>
            </wp:positionH>
            <wp:positionV relativeFrom="paragraph">
              <wp:posOffset>203835</wp:posOffset>
            </wp:positionV>
            <wp:extent cx="6105525" cy="3060700"/>
            <wp:effectExtent l="0" t="0" r="9525" b="6350"/>
            <wp:wrapNone/>
            <wp:docPr id="7" name="Graf 7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34574FCA-A81F-684F-9BE1-7EEFD2BD70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69F5">
        <w:rPr>
          <w:b/>
        </w:rPr>
        <w:t xml:space="preserve">Graf č. </w:t>
      </w:r>
      <w:r w:rsidR="0007797C" w:rsidRPr="005769F5">
        <w:rPr>
          <w:b/>
        </w:rPr>
        <w:t>4</w:t>
      </w:r>
      <w:r>
        <w:t xml:space="preserve"> – Aplikační sektory výsledných produktů</w:t>
      </w:r>
    </w:p>
    <w:p w14:paraId="2EF4BF6B" w14:textId="77777777" w:rsidR="00767781" w:rsidRDefault="00767781" w:rsidP="00767781"/>
    <w:p w14:paraId="7E603A51" w14:textId="77777777" w:rsidR="00767781" w:rsidRDefault="00767781" w:rsidP="00767781"/>
    <w:p w14:paraId="4CAA3C72" w14:textId="77777777" w:rsidR="00767781" w:rsidRDefault="00767781" w:rsidP="00767781"/>
    <w:p w14:paraId="39DDC78B" w14:textId="77777777" w:rsidR="00767781" w:rsidRDefault="00767781" w:rsidP="00767781"/>
    <w:p w14:paraId="0C3CE914" w14:textId="77777777" w:rsidR="00767781" w:rsidRDefault="00767781" w:rsidP="00767781"/>
    <w:p w14:paraId="17C665FB" w14:textId="77777777" w:rsidR="00767781" w:rsidRDefault="00767781" w:rsidP="00767781"/>
    <w:p w14:paraId="31430D20" w14:textId="77777777" w:rsidR="00767781" w:rsidRDefault="00767781" w:rsidP="00767781"/>
    <w:p w14:paraId="745B4E47" w14:textId="77777777" w:rsidR="00767781" w:rsidRDefault="00767781" w:rsidP="00605759"/>
    <w:p w14:paraId="6DD6E8D6" w14:textId="77777777" w:rsidR="00767781" w:rsidRDefault="00767781" w:rsidP="00605759"/>
    <w:p w14:paraId="68AF3B12" w14:textId="77777777" w:rsidR="00767781" w:rsidRDefault="00767781" w:rsidP="00605759"/>
    <w:p w14:paraId="257A1FF2" w14:textId="77777777" w:rsidR="00767781" w:rsidRDefault="00767781" w:rsidP="00605759"/>
    <w:p w14:paraId="59284ACC" w14:textId="77777777" w:rsidR="005769F5" w:rsidRDefault="00767781" w:rsidP="00605759">
      <w:r w:rsidRPr="005769F5">
        <w:rPr>
          <w:b/>
        </w:rPr>
        <w:lastRenderedPageBreak/>
        <w:t xml:space="preserve">Tabulka č. </w:t>
      </w:r>
      <w:r w:rsidR="0007797C" w:rsidRPr="005769F5">
        <w:rPr>
          <w:b/>
        </w:rPr>
        <w:t>9</w:t>
      </w:r>
      <w:r w:rsidR="006026E3">
        <w:t xml:space="preserve"> </w:t>
      </w:r>
      <w:r>
        <w:t>– Způsoby financování výzkumu a vývoje AI</w:t>
      </w:r>
    </w:p>
    <w:tbl>
      <w:tblPr>
        <w:tblW w:w="8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0"/>
        <w:gridCol w:w="2960"/>
      </w:tblGrid>
      <w:tr w:rsidR="00767781" w:rsidRPr="00767781" w14:paraId="24491BF6" w14:textId="77777777" w:rsidTr="00767781">
        <w:trPr>
          <w:trHeight w:val="255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79CA63AD" w14:textId="77777777" w:rsidR="00767781" w:rsidRPr="00767781" w:rsidRDefault="00767781" w:rsidP="00767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Způsoby financování výzkumu a vývoje AI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45ECF71" w14:textId="77777777" w:rsidR="00767781" w:rsidRPr="00767781" w:rsidRDefault="00767781" w:rsidP="007677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767781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Celkový podíl v %</w:t>
            </w:r>
          </w:p>
        </w:tc>
      </w:tr>
      <w:tr w:rsidR="00767781" w:rsidRPr="00767781" w14:paraId="60E65DD6" w14:textId="77777777" w:rsidTr="00767781">
        <w:trPr>
          <w:trHeight w:val="255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23C27427" w14:textId="77777777" w:rsidR="00767781" w:rsidRPr="005769F5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 xml:space="preserve">Vlastní zdroje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B017" w14:textId="77777777" w:rsidR="00767781" w:rsidRPr="005769F5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88%</w:t>
            </w:r>
          </w:p>
        </w:tc>
      </w:tr>
      <w:tr w:rsidR="00767781" w:rsidRPr="00767781" w14:paraId="57C2239E" w14:textId="77777777" w:rsidTr="005769F5">
        <w:trPr>
          <w:trHeight w:val="386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00AAC1C6" w14:textId="77777777" w:rsidR="00767781" w:rsidRPr="005769F5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 xml:space="preserve">Externí zdroje - soukromé místní (např. business </w:t>
            </w:r>
            <w:proofErr w:type="spellStart"/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angel</w:t>
            </w:r>
            <w:proofErr w:type="spellEnd"/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, VC fond, bankovní půjčka)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730A" w14:textId="77777777" w:rsidR="00767781" w:rsidRPr="005769F5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13%</w:t>
            </w:r>
          </w:p>
        </w:tc>
      </w:tr>
      <w:tr w:rsidR="00767781" w:rsidRPr="00767781" w14:paraId="4FCD9CC3" w14:textId="77777777" w:rsidTr="005769F5">
        <w:trPr>
          <w:trHeight w:val="407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4DDD59B3" w14:textId="77777777" w:rsidR="00767781" w:rsidRPr="005769F5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 xml:space="preserve">Externí zdroje - soukromé zahraniční (např. business </w:t>
            </w:r>
            <w:proofErr w:type="spellStart"/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angel</w:t>
            </w:r>
            <w:proofErr w:type="spellEnd"/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, VC fond)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FC66" w14:textId="77777777" w:rsidR="00767781" w:rsidRPr="005769F5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8%</w:t>
            </w:r>
          </w:p>
        </w:tc>
      </w:tr>
      <w:tr w:rsidR="00767781" w:rsidRPr="00767781" w14:paraId="5A6FBD01" w14:textId="77777777" w:rsidTr="005769F5">
        <w:trPr>
          <w:trHeight w:val="343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1E03B82A" w14:textId="77777777" w:rsidR="00767781" w:rsidRPr="005769F5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 xml:space="preserve">Externí zdroje - veřejné místní (např. TA ČR, národní granty)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D623" w14:textId="77777777" w:rsidR="00767781" w:rsidRPr="005769F5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30%</w:t>
            </w:r>
          </w:p>
        </w:tc>
      </w:tr>
      <w:tr w:rsidR="00767781" w:rsidRPr="00767781" w14:paraId="145E873C" w14:textId="77777777" w:rsidTr="005769F5">
        <w:trPr>
          <w:trHeight w:val="264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0BB2A35D" w14:textId="77777777" w:rsidR="00767781" w:rsidRPr="005769F5" w:rsidRDefault="00767781" w:rsidP="00767781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Externí zdroje - veřejné zahraniční (např. granty Evropské unie)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CBA6" w14:textId="77777777" w:rsidR="00767781" w:rsidRPr="005769F5" w:rsidRDefault="00767781" w:rsidP="007677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</w:pPr>
            <w:r w:rsidRPr="005769F5">
              <w:rPr>
                <w:rFonts w:ascii="Arial" w:eastAsia="Times New Roman" w:hAnsi="Arial" w:cs="Arial"/>
                <w:color w:val="auto"/>
                <w:sz w:val="18"/>
                <w:szCs w:val="18"/>
                <w:lang w:eastAsia="cs-CZ"/>
              </w:rPr>
              <w:t>23%</w:t>
            </w:r>
          </w:p>
        </w:tc>
      </w:tr>
    </w:tbl>
    <w:p w14:paraId="0976B9CE" w14:textId="77777777" w:rsidR="00767781" w:rsidRDefault="00767781" w:rsidP="00605759"/>
    <w:p w14:paraId="2AC2BF5F" w14:textId="77777777" w:rsidR="005769F5" w:rsidRDefault="005769F5" w:rsidP="00605759"/>
    <w:p w14:paraId="0C346772" w14:textId="77777777" w:rsidR="00564BB9" w:rsidRDefault="00767781" w:rsidP="00605759">
      <w:r w:rsidRPr="005769F5">
        <w:rPr>
          <w:b/>
        </w:rPr>
        <w:t xml:space="preserve">Graf č. 5 </w:t>
      </w:r>
      <w:r>
        <w:t>-</w:t>
      </w:r>
      <w:r w:rsidRPr="00767781">
        <w:t xml:space="preserve"> </w:t>
      </w:r>
      <w:bookmarkStart w:id="1" w:name="OLE_LINK1"/>
      <w:r>
        <w:t>Způsoby financování výzkumu a vývoje AI</w:t>
      </w:r>
      <w:bookmarkEnd w:id="1"/>
    </w:p>
    <w:p w14:paraId="51714246" w14:textId="77777777" w:rsidR="006026E3" w:rsidRDefault="00BC2E06" w:rsidP="00605759">
      <w:r>
        <w:rPr>
          <w:noProof/>
          <w:lang w:eastAsia="cs-CZ"/>
        </w:rPr>
        <w:drawing>
          <wp:inline distT="0" distB="0" distL="0" distR="0" wp14:anchorId="6D7FD8EA" wp14:editId="5CB17461">
            <wp:extent cx="6120130" cy="3178175"/>
            <wp:effectExtent l="0" t="0" r="13970" b="9525"/>
            <wp:docPr id="20" name="Graf 20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6D2C4F40-49C1-C242-BDF5-81975555A0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1086AAC" w14:textId="77777777" w:rsidR="006026E3" w:rsidRDefault="006026E3" w:rsidP="00605759"/>
    <w:p w14:paraId="3AF109E6" w14:textId="77777777" w:rsidR="006026E3" w:rsidRDefault="006026E3" w:rsidP="00605759"/>
    <w:p w14:paraId="4C1585FC" w14:textId="77777777" w:rsidR="006026E3" w:rsidRDefault="006026E3" w:rsidP="00605759"/>
    <w:p w14:paraId="70C1FA26" w14:textId="77777777" w:rsidR="006026E3" w:rsidRDefault="006026E3" w:rsidP="00605759"/>
    <w:p w14:paraId="5CA66955" w14:textId="77777777" w:rsidR="006026E3" w:rsidRDefault="006026E3" w:rsidP="00605759"/>
    <w:p w14:paraId="7723C083" w14:textId="77777777" w:rsidR="006026E3" w:rsidRDefault="006026E3" w:rsidP="00605759"/>
    <w:p w14:paraId="319D4B3D" w14:textId="77777777" w:rsidR="006026E3" w:rsidRDefault="006026E3" w:rsidP="00605759"/>
    <w:p w14:paraId="7A5C417E" w14:textId="77777777" w:rsidR="006026E3" w:rsidRDefault="006026E3" w:rsidP="00605759"/>
    <w:p w14:paraId="404972EA" w14:textId="77777777" w:rsidR="005769F5" w:rsidRDefault="005769F5" w:rsidP="00605759"/>
    <w:p w14:paraId="5CCA4376" w14:textId="77777777" w:rsidR="006026E3" w:rsidRDefault="006026E3" w:rsidP="00605759"/>
    <w:p w14:paraId="568AF882" w14:textId="77777777" w:rsidR="006026E3" w:rsidRDefault="006026E3" w:rsidP="00605759"/>
    <w:p w14:paraId="2C6C699F" w14:textId="77777777" w:rsidR="006026E3" w:rsidRDefault="006026E3" w:rsidP="00605759">
      <w:r w:rsidRPr="005769F5">
        <w:rPr>
          <w:b/>
        </w:rPr>
        <w:lastRenderedPageBreak/>
        <w:t xml:space="preserve">Tabulka č. </w:t>
      </w:r>
      <w:r w:rsidR="0007797C" w:rsidRPr="005769F5">
        <w:rPr>
          <w:b/>
        </w:rPr>
        <w:t>10</w:t>
      </w:r>
      <w:r>
        <w:t xml:space="preserve"> – Roční obrat v mil. Kč v aktivitách AI v ČR</w:t>
      </w:r>
    </w:p>
    <w:p w14:paraId="561CBCCC" w14:textId="77777777" w:rsidR="00564BB9" w:rsidRDefault="006026E3" w:rsidP="00605759">
      <w:r w:rsidRPr="006026E3">
        <w:rPr>
          <w:noProof/>
          <w:lang w:eastAsia="cs-CZ"/>
        </w:rPr>
        <w:drawing>
          <wp:inline distT="0" distB="0" distL="0" distR="0" wp14:anchorId="1ECA9252" wp14:editId="5C5C088A">
            <wp:extent cx="5133766" cy="135255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375" cy="1354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3B541" w14:textId="77777777" w:rsidR="00564BB9" w:rsidRPr="0064657F" w:rsidRDefault="0064657F" w:rsidP="00605759">
      <w:pPr>
        <w:rPr>
          <w:vertAlign w:val="superscript"/>
        </w:rPr>
      </w:pPr>
      <w:r>
        <w:rPr>
          <w:vertAlign w:val="superscript"/>
        </w:rPr>
        <w:t>*uvedené údaje v tabulce jsou stanoveny intervalově z důvodu ochrany firemního know-how</w:t>
      </w:r>
    </w:p>
    <w:p w14:paraId="02CD3B9C" w14:textId="77777777" w:rsidR="005769F5" w:rsidRDefault="005769F5" w:rsidP="006026E3">
      <w:pPr>
        <w:rPr>
          <w:b/>
        </w:rPr>
      </w:pPr>
    </w:p>
    <w:p w14:paraId="16747D9B" w14:textId="77777777" w:rsidR="006026E3" w:rsidRDefault="006026E3" w:rsidP="006026E3">
      <w:r w:rsidRPr="005769F5">
        <w:rPr>
          <w:b/>
        </w:rPr>
        <w:t>Graf č. 6</w:t>
      </w:r>
      <w:r>
        <w:t xml:space="preserve"> - Roční obrat v mil. Kč v aktivitách AI v ČR</w:t>
      </w:r>
    </w:p>
    <w:p w14:paraId="0E03640D" w14:textId="77777777" w:rsidR="005769F5" w:rsidRDefault="00BC2E06" w:rsidP="005769F5">
      <w:pPr>
        <w:jc w:val="center"/>
      </w:pPr>
      <w:r>
        <w:rPr>
          <w:noProof/>
          <w:lang w:eastAsia="cs-CZ"/>
        </w:rPr>
        <w:drawing>
          <wp:inline distT="0" distB="0" distL="0" distR="0" wp14:anchorId="78E6B353" wp14:editId="078D1B0C">
            <wp:extent cx="6261811" cy="4111143"/>
            <wp:effectExtent l="0" t="0" r="5715" b="3810"/>
            <wp:docPr id="21" name="Graf 2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2998E297-0E37-5043-9C10-6578796DCE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3220ECE" w14:textId="77777777" w:rsidR="006026E3" w:rsidRDefault="006026E3" w:rsidP="00605759"/>
    <w:p w14:paraId="3C9EC4A3" w14:textId="77777777" w:rsidR="005769F5" w:rsidRDefault="005769F5" w:rsidP="00605759"/>
    <w:p w14:paraId="31EA65DA" w14:textId="77777777" w:rsidR="005769F5" w:rsidRDefault="005769F5" w:rsidP="00605759"/>
    <w:p w14:paraId="08521E5C" w14:textId="77777777" w:rsidR="005769F5" w:rsidRDefault="005769F5" w:rsidP="00605759"/>
    <w:p w14:paraId="516371CF" w14:textId="77777777" w:rsidR="005769F5" w:rsidRDefault="005769F5" w:rsidP="00605759"/>
    <w:p w14:paraId="6F11E97D" w14:textId="77777777" w:rsidR="005769F5" w:rsidRDefault="005769F5" w:rsidP="00605759"/>
    <w:p w14:paraId="1D3751B4" w14:textId="77777777" w:rsidR="005769F5" w:rsidRDefault="005769F5" w:rsidP="00605759"/>
    <w:p w14:paraId="6E463271" w14:textId="77777777" w:rsidR="006026E3" w:rsidRDefault="006026E3" w:rsidP="00605759">
      <w:r w:rsidRPr="005769F5">
        <w:rPr>
          <w:b/>
        </w:rPr>
        <w:lastRenderedPageBreak/>
        <w:t>Tabulka č. 1</w:t>
      </w:r>
      <w:r w:rsidR="0007797C" w:rsidRPr="005769F5">
        <w:rPr>
          <w:b/>
        </w:rPr>
        <w:t>1</w:t>
      </w:r>
      <w:r w:rsidRPr="005769F5">
        <w:rPr>
          <w:b/>
        </w:rPr>
        <w:t xml:space="preserve"> </w:t>
      </w:r>
      <w:r>
        <w:t>– Objem plánovaných investičních prostředků do AI v letech 2019 a 2020</w:t>
      </w:r>
    </w:p>
    <w:tbl>
      <w:tblPr>
        <w:tblW w:w="81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7"/>
        <w:gridCol w:w="2366"/>
      </w:tblGrid>
      <w:tr w:rsidR="006026E3" w:rsidRPr="006026E3" w14:paraId="3587AF30" w14:textId="77777777" w:rsidTr="006026E3">
        <w:trPr>
          <w:trHeight w:val="530"/>
        </w:trPr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160A00E7" w14:textId="77777777" w:rsidR="006026E3" w:rsidRPr="006026E3" w:rsidRDefault="006026E3" w:rsidP="006026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Objem plánovaných investičních pr</w:t>
            </w:r>
            <w:r w:rsidR="000302FF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 xml:space="preserve">ostředků v </w:t>
            </w:r>
            <w:proofErr w:type="gramStart"/>
            <w:r w:rsidR="000302FF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 xml:space="preserve">ČR                  </w:t>
            </w:r>
            <w:r w:rsidRPr="006026E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(v mil</w:t>
            </w:r>
            <w:proofErr w:type="gramEnd"/>
            <w:r w:rsidRPr="006026E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 xml:space="preserve"> Kč) do AI pro roky 2019 a 2020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18D16E78" w14:textId="77777777" w:rsidR="006026E3" w:rsidRPr="006026E3" w:rsidRDefault="006026E3" w:rsidP="006026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Celkový podíl v %</w:t>
            </w:r>
          </w:p>
        </w:tc>
      </w:tr>
      <w:tr w:rsidR="006026E3" w:rsidRPr="006026E3" w14:paraId="7DDDD052" w14:textId="77777777" w:rsidTr="006026E3">
        <w:trPr>
          <w:trHeight w:val="265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15883C1" w14:textId="77777777" w:rsidR="006026E3" w:rsidRPr="006026E3" w:rsidRDefault="006026E3" w:rsidP="006026E3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1 - 5 mil. Kč 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493F" w14:textId="77777777" w:rsidR="006026E3" w:rsidRPr="006026E3" w:rsidRDefault="006026E3" w:rsidP="0060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31%</w:t>
            </w:r>
          </w:p>
        </w:tc>
      </w:tr>
      <w:tr w:rsidR="006026E3" w:rsidRPr="006026E3" w14:paraId="1E81DB99" w14:textId="77777777" w:rsidTr="006026E3">
        <w:trPr>
          <w:trHeight w:val="265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18DE335" w14:textId="77777777" w:rsidR="006026E3" w:rsidRPr="006026E3" w:rsidRDefault="006026E3" w:rsidP="006026E3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6 -10 mil. Kč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472F" w14:textId="77777777" w:rsidR="006026E3" w:rsidRPr="006026E3" w:rsidRDefault="006026E3" w:rsidP="0060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8%</w:t>
            </w:r>
          </w:p>
        </w:tc>
      </w:tr>
      <w:tr w:rsidR="006026E3" w:rsidRPr="006026E3" w14:paraId="1559F551" w14:textId="77777777" w:rsidTr="006026E3">
        <w:trPr>
          <w:trHeight w:val="265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76D24A6E" w14:textId="77777777" w:rsidR="006026E3" w:rsidRPr="006026E3" w:rsidRDefault="006026E3" w:rsidP="006026E3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10 - 50 mil. Kč 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5398" w14:textId="77777777" w:rsidR="006026E3" w:rsidRPr="006026E3" w:rsidRDefault="006026E3" w:rsidP="0060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15%</w:t>
            </w:r>
          </w:p>
        </w:tc>
      </w:tr>
      <w:tr w:rsidR="006026E3" w:rsidRPr="006026E3" w14:paraId="33EA8041" w14:textId="77777777" w:rsidTr="006026E3">
        <w:trPr>
          <w:trHeight w:val="265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3724EB16" w14:textId="77777777" w:rsidR="006026E3" w:rsidRPr="006026E3" w:rsidRDefault="006026E3" w:rsidP="006026E3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51 mil. Kč a více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697C" w14:textId="77777777" w:rsidR="006026E3" w:rsidRPr="006026E3" w:rsidRDefault="006026E3" w:rsidP="0060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6%</w:t>
            </w:r>
          </w:p>
        </w:tc>
      </w:tr>
      <w:tr w:rsidR="006026E3" w:rsidRPr="006026E3" w14:paraId="454A61E9" w14:textId="77777777" w:rsidTr="006026E3">
        <w:trPr>
          <w:trHeight w:val="265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46471F05" w14:textId="77777777" w:rsidR="006026E3" w:rsidRPr="006026E3" w:rsidRDefault="006026E3" w:rsidP="006026E3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Bez odpovědi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E1C0" w14:textId="77777777" w:rsidR="006026E3" w:rsidRPr="006026E3" w:rsidRDefault="006026E3" w:rsidP="006026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6026E3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40%</w:t>
            </w:r>
          </w:p>
        </w:tc>
      </w:tr>
    </w:tbl>
    <w:p w14:paraId="519AF558" w14:textId="77777777" w:rsidR="005769F5" w:rsidRPr="005769F5" w:rsidRDefault="0064657F" w:rsidP="00605759">
      <w:pPr>
        <w:rPr>
          <w:vertAlign w:val="superscript"/>
        </w:rPr>
      </w:pPr>
      <w:r>
        <w:rPr>
          <w:vertAlign w:val="superscript"/>
        </w:rPr>
        <w:t>*uvedené údaje v tabulce jsou stanoveny intervalově z důvodu ochrany firemního know-how</w:t>
      </w:r>
    </w:p>
    <w:p w14:paraId="40C318AB" w14:textId="77777777" w:rsidR="005769F5" w:rsidRDefault="005769F5" w:rsidP="00605759"/>
    <w:p w14:paraId="179640F3" w14:textId="77777777" w:rsidR="006026E3" w:rsidRDefault="006026E3" w:rsidP="006026E3">
      <w:r w:rsidRPr="005769F5">
        <w:rPr>
          <w:b/>
        </w:rPr>
        <w:t>Graf č. 7</w:t>
      </w:r>
      <w:r>
        <w:t xml:space="preserve"> – Objem plánovaných investičních prostředků </w:t>
      </w:r>
      <w:r w:rsidR="005769F5">
        <w:t xml:space="preserve">v ČR (v mil. Kč) </w:t>
      </w:r>
      <w:r>
        <w:t>do AI v letech 2019 a 2020</w:t>
      </w:r>
    </w:p>
    <w:p w14:paraId="7A46622C" w14:textId="77777777" w:rsidR="006026E3" w:rsidRDefault="00BC2E06" w:rsidP="00605759">
      <w:r w:rsidRPr="00BC2E06">
        <w:rPr>
          <w:noProof/>
        </w:rPr>
        <w:t xml:space="preserve"> </w:t>
      </w:r>
      <w:r>
        <w:rPr>
          <w:noProof/>
          <w:lang w:eastAsia="cs-CZ"/>
        </w:rPr>
        <w:drawing>
          <wp:inline distT="0" distB="0" distL="0" distR="0" wp14:anchorId="55C53DD3" wp14:editId="0AE1B87F">
            <wp:extent cx="6408115" cy="4001414"/>
            <wp:effectExtent l="0" t="0" r="12065" b="18415"/>
            <wp:docPr id="22" name="Graf 2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80C1BBD1-6098-6D49-B747-93A961DBFE0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79311F27" w14:textId="77777777" w:rsidR="00564BB9" w:rsidRDefault="00564BB9" w:rsidP="00605759"/>
    <w:p w14:paraId="6C850E08" w14:textId="77777777" w:rsidR="00564BB9" w:rsidRDefault="00564BB9" w:rsidP="00605759"/>
    <w:p w14:paraId="47783447" w14:textId="77777777" w:rsidR="00564BB9" w:rsidRDefault="00564BB9" w:rsidP="00605759"/>
    <w:p w14:paraId="697A6CDE" w14:textId="77777777" w:rsidR="00564BB9" w:rsidRDefault="00564BB9" w:rsidP="00605759"/>
    <w:p w14:paraId="18AF8221" w14:textId="77777777" w:rsidR="00564BB9" w:rsidRDefault="00564BB9" w:rsidP="00605759"/>
    <w:p w14:paraId="201FDAAC" w14:textId="77777777" w:rsidR="006026E3" w:rsidRPr="000302FF" w:rsidRDefault="006026E3" w:rsidP="00605759">
      <w:pPr>
        <w:rPr>
          <w:b/>
        </w:rPr>
      </w:pPr>
    </w:p>
    <w:p w14:paraId="0114B22F" w14:textId="77777777" w:rsidR="000302FF" w:rsidRDefault="000302FF" w:rsidP="00605759">
      <w:pPr>
        <w:rPr>
          <w:b/>
        </w:rPr>
      </w:pPr>
    </w:p>
    <w:p w14:paraId="1204634F" w14:textId="77777777" w:rsidR="000302FF" w:rsidRDefault="000302FF" w:rsidP="00605759">
      <w:pPr>
        <w:rPr>
          <w:b/>
        </w:rPr>
      </w:pPr>
    </w:p>
    <w:p w14:paraId="4D6283F3" w14:textId="77777777" w:rsidR="006026E3" w:rsidRDefault="006026E3" w:rsidP="00605759">
      <w:r w:rsidRPr="000302FF">
        <w:rPr>
          <w:b/>
        </w:rPr>
        <w:lastRenderedPageBreak/>
        <w:t xml:space="preserve">Tabulka č. </w:t>
      </w:r>
      <w:r w:rsidR="00E3777B" w:rsidRPr="000302FF">
        <w:rPr>
          <w:b/>
        </w:rPr>
        <w:t>1</w:t>
      </w:r>
      <w:r w:rsidR="0007797C" w:rsidRPr="000302FF">
        <w:rPr>
          <w:b/>
        </w:rPr>
        <w:t>2</w:t>
      </w:r>
      <w:r w:rsidR="00E3777B" w:rsidRPr="000302FF">
        <w:rPr>
          <w:b/>
        </w:rPr>
        <w:t xml:space="preserve"> </w:t>
      </w:r>
      <w:r w:rsidR="00E3777B">
        <w:t>– Důležitost otázky vzdělávání a rekvalifikace pracovníků/zaměstnanců s narůstající přeměnou trhu práce</w:t>
      </w:r>
    </w:p>
    <w:tbl>
      <w:tblPr>
        <w:tblW w:w="8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0"/>
        <w:gridCol w:w="3420"/>
      </w:tblGrid>
      <w:tr w:rsidR="00E3777B" w:rsidRPr="00E3777B" w14:paraId="7B5D6F21" w14:textId="77777777" w:rsidTr="00E3777B">
        <w:trPr>
          <w:trHeight w:val="142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576CD3BC" w14:textId="77777777" w:rsidR="00E3777B" w:rsidRPr="00E3777B" w:rsidRDefault="00E3777B" w:rsidP="00E377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Důležitost otázky vzdělávání a rekvalifikace pracovníků/zaměstnanců s narůstající přeměnou trhu práce (nástup nových technologií, AI apod.)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0503BC5A" w14:textId="77777777" w:rsidR="00E3777B" w:rsidRPr="00E3777B" w:rsidRDefault="00E3777B" w:rsidP="00E377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cs-CZ"/>
              </w:rPr>
              <w:t>Celkový podíl v %</w:t>
            </w:r>
          </w:p>
        </w:tc>
      </w:tr>
      <w:tr w:rsidR="00E3777B" w:rsidRPr="00E3777B" w14:paraId="7268852D" w14:textId="77777777" w:rsidTr="00E3777B">
        <w:trPr>
          <w:trHeight w:val="25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A7D4C29" w14:textId="77777777" w:rsidR="00E3777B" w:rsidRPr="00E3777B" w:rsidRDefault="00E3777B" w:rsidP="00E3777B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Velmi důležité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8E72" w14:textId="77777777" w:rsidR="00E3777B" w:rsidRPr="00E3777B" w:rsidRDefault="00E3777B" w:rsidP="00E377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44%</w:t>
            </w:r>
          </w:p>
        </w:tc>
      </w:tr>
      <w:tr w:rsidR="00E3777B" w:rsidRPr="00E3777B" w14:paraId="179C2D8A" w14:textId="77777777" w:rsidTr="00E3777B">
        <w:trPr>
          <w:trHeight w:val="25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ECA006A" w14:textId="77777777" w:rsidR="00E3777B" w:rsidRPr="00E3777B" w:rsidRDefault="00E3777B" w:rsidP="00E3777B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 xml:space="preserve">Neutrální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C019" w14:textId="77777777" w:rsidR="00E3777B" w:rsidRPr="00E3777B" w:rsidRDefault="00E3777B" w:rsidP="00E377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13%</w:t>
            </w:r>
          </w:p>
        </w:tc>
      </w:tr>
      <w:tr w:rsidR="00E3777B" w:rsidRPr="00E3777B" w14:paraId="569DF2CF" w14:textId="77777777" w:rsidTr="00E3777B">
        <w:trPr>
          <w:trHeight w:val="25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D8BD249" w14:textId="77777777" w:rsidR="00E3777B" w:rsidRPr="00E3777B" w:rsidRDefault="00E3777B" w:rsidP="00E3777B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Vůbec neřešíme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1B7A" w14:textId="77777777" w:rsidR="00E3777B" w:rsidRPr="00E3777B" w:rsidRDefault="00E3777B" w:rsidP="00E377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10%</w:t>
            </w:r>
          </w:p>
        </w:tc>
      </w:tr>
      <w:tr w:rsidR="00E3777B" w:rsidRPr="00E3777B" w14:paraId="6504DDDC" w14:textId="77777777" w:rsidTr="00E3777B">
        <w:trPr>
          <w:trHeight w:val="25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478C0BA" w14:textId="77777777" w:rsidR="00E3777B" w:rsidRPr="00E3777B" w:rsidRDefault="00E3777B" w:rsidP="00E3777B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Bez odpovědi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44A9" w14:textId="77777777" w:rsidR="00E3777B" w:rsidRPr="00E3777B" w:rsidRDefault="00E3777B" w:rsidP="00E377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</w:pPr>
            <w:r w:rsidRPr="00E3777B">
              <w:rPr>
                <w:rFonts w:ascii="Arial" w:eastAsia="Times New Roman" w:hAnsi="Arial" w:cs="Arial"/>
                <w:color w:val="auto"/>
                <w:sz w:val="20"/>
                <w:szCs w:val="20"/>
                <w:lang w:eastAsia="cs-CZ"/>
              </w:rPr>
              <w:t>33%</w:t>
            </w:r>
          </w:p>
        </w:tc>
      </w:tr>
    </w:tbl>
    <w:p w14:paraId="06C0324B" w14:textId="77777777" w:rsidR="00E3777B" w:rsidRDefault="00E3777B" w:rsidP="00605759"/>
    <w:p w14:paraId="165613E8" w14:textId="77777777" w:rsidR="000302FF" w:rsidRDefault="000302FF" w:rsidP="00605759"/>
    <w:p w14:paraId="7F4668A5" w14:textId="77777777" w:rsidR="00E3777B" w:rsidRDefault="0007797C" w:rsidP="00E3777B">
      <w:r w:rsidRPr="000302FF">
        <w:rPr>
          <w:b/>
        </w:rPr>
        <w:t>Graf</w:t>
      </w:r>
      <w:r w:rsidR="00E3777B" w:rsidRPr="000302FF">
        <w:rPr>
          <w:b/>
        </w:rPr>
        <w:t xml:space="preserve"> č. 8</w:t>
      </w:r>
      <w:r w:rsidR="00E3777B">
        <w:t xml:space="preserve"> – Důležitost otázky vzdělávání a rekvalifikace pracovníků/zaměstnanců s narůstající přeměnou trhu práce</w:t>
      </w:r>
    </w:p>
    <w:p w14:paraId="4B297914" w14:textId="77777777" w:rsidR="00E3777B" w:rsidRPr="00605759" w:rsidRDefault="00BC2E06" w:rsidP="00605759">
      <w:r w:rsidRPr="00BC2E06">
        <w:rPr>
          <w:noProof/>
        </w:rPr>
        <w:t xml:space="preserve"> </w:t>
      </w:r>
      <w:r>
        <w:rPr>
          <w:noProof/>
          <w:lang w:eastAsia="cs-CZ"/>
        </w:rPr>
        <w:drawing>
          <wp:inline distT="0" distB="0" distL="0" distR="0" wp14:anchorId="4A1E014F" wp14:editId="7C251ED8">
            <wp:extent cx="6414448" cy="3746310"/>
            <wp:effectExtent l="0" t="0" r="5715" b="6985"/>
            <wp:docPr id="23" name="Graf 2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462CE17F-CDA7-F245-8D68-CC3BE53DCEB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sectPr w:rsidR="00E3777B" w:rsidRPr="00605759" w:rsidSect="002D18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208F3" w14:textId="77777777" w:rsidR="009B2CB8" w:rsidRDefault="009B2CB8" w:rsidP="00677FE0">
      <w:pPr>
        <w:spacing w:after="0" w:line="240" w:lineRule="auto"/>
      </w:pPr>
      <w:r>
        <w:separator/>
      </w:r>
    </w:p>
  </w:endnote>
  <w:endnote w:type="continuationSeparator" w:id="0">
    <w:p w14:paraId="03174633" w14:textId="77777777" w:rsidR="009B2CB8" w:rsidRDefault="009B2CB8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CD9C0" w14:textId="77777777" w:rsidR="00FC395D" w:rsidRDefault="00FC395D" w:rsidP="00E3777B">
    <w:pPr>
      <w:pStyle w:val="Zpat"/>
      <w:tabs>
        <w:tab w:val="clear" w:pos="4536"/>
        <w:tab w:val="clear" w:pos="9072"/>
        <w:tab w:val="left" w:pos="8625"/>
      </w:tabs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00163FB" wp14:editId="40656D80">
          <wp:simplePos x="0" y="0"/>
          <wp:positionH relativeFrom="column">
            <wp:posOffset>10734675</wp:posOffset>
          </wp:positionH>
          <wp:positionV relativeFrom="paragraph">
            <wp:posOffset>-180975</wp:posOffset>
          </wp:positionV>
          <wp:extent cx="1316990" cy="798830"/>
          <wp:effectExtent l="0" t="0" r="0" b="1270"/>
          <wp:wrapNone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F7ACF" w14:textId="77777777" w:rsidR="009B2CB8" w:rsidRDefault="009B2CB8" w:rsidP="00677FE0">
      <w:pPr>
        <w:spacing w:after="0" w:line="240" w:lineRule="auto"/>
      </w:pPr>
      <w:r>
        <w:separator/>
      </w:r>
    </w:p>
  </w:footnote>
  <w:footnote w:type="continuationSeparator" w:id="0">
    <w:p w14:paraId="6CBDED90" w14:textId="77777777" w:rsidR="009B2CB8" w:rsidRDefault="009B2CB8" w:rsidP="00677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3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2"/>
  </w:num>
  <w:num w:numId="3">
    <w:abstractNumId w:val="19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31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0"/>
  </w:num>
  <w:num w:numId="14">
    <w:abstractNumId w:val="4"/>
  </w:num>
  <w:num w:numId="15">
    <w:abstractNumId w:val="3"/>
  </w:num>
  <w:num w:numId="16">
    <w:abstractNumId w:val="28"/>
  </w:num>
  <w:num w:numId="17">
    <w:abstractNumId w:val="20"/>
  </w:num>
  <w:num w:numId="18">
    <w:abstractNumId w:val="6"/>
  </w:num>
  <w:num w:numId="19">
    <w:abstractNumId w:val="12"/>
  </w:num>
  <w:num w:numId="20">
    <w:abstractNumId w:val="8"/>
  </w:num>
  <w:num w:numId="21">
    <w:abstractNumId w:val="26"/>
  </w:num>
  <w:num w:numId="22">
    <w:abstractNumId w:val="10"/>
  </w:num>
  <w:num w:numId="23">
    <w:abstractNumId w:val="21"/>
  </w:num>
  <w:num w:numId="24">
    <w:abstractNumId w:val="11"/>
  </w:num>
  <w:num w:numId="25">
    <w:abstractNumId w:val="15"/>
  </w:num>
  <w:num w:numId="26">
    <w:abstractNumId w:val="27"/>
  </w:num>
  <w:num w:numId="27">
    <w:abstractNumId w:val="25"/>
  </w:num>
  <w:num w:numId="28">
    <w:abstractNumId w:val="24"/>
  </w:num>
  <w:num w:numId="29">
    <w:abstractNumId w:val="18"/>
  </w:num>
  <w:num w:numId="30">
    <w:abstractNumId w:val="29"/>
  </w:num>
  <w:num w:numId="31">
    <w:abstractNumId w:val="33"/>
  </w:num>
  <w:num w:numId="32">
    <w:abstractNumId w:val="22"/>
  </w:num>
  <w:num w:numId="33">
    <w:abstractNumId w:val="17"/>
  </w:num>
  <w:num w:numId="34">
    <w:abstractNumId w:val="9"/>
  </w:num>
  <w:num w:numId="35">
    <w:abstractNumId w:val="23"/>
  </w:num>
  <w:num w:numId="3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BB1"/>
    <w:rsid w:val="00015306"/>
    <w:rsid w:val="0002674B"/>
    <w:rsid w:val="000302FF"/>
    <w:rsid w:val="0004162E"/>
    <w:rsid w:val="000424C3"/>
    <w:rsid w:val="0004786B"/>
    <w:rsid w:val="00052718"/>
    <w:rsid w:val="00063405"/>
    <w:rsid w:val="0007797C"/>
    <w:rsid w:val="000809B9"/>
    <w:rsid w:val="00090B40"/>
    <w:rsid w:val="00095A0A"/>
    <w:rsid w:val="000B1B3D"/>
    <w:rsid w:val="000C4CAF"/>
    <w:rsid w:val="000D66CF"/>
    <w:rsid w:val="000E7EBB"/>
    <w:rsid w:val="00121485"/>
    <w:rsid w:val="0018051B"/>
    <w:rsid w:val="001B1E4A"/>
    <w:rsid w:val="001D27C0"/>
    <w:rsid w:val="001E5942"/>
    <w:rsid w:val="001E74C3"/>
    <w:rsid w:val="001F6937"/>
    <w:rsid w:val="002053F7"/>
    <w:rsid w:val="00220DE3"/>
    <w:rsid w:val="002466EF"/>
    <w:rsid w:val="0025290D"/>
    <w:rsid w:val="00260372"/>
    <w:rsid w:val="00262DAF"/>
    <w:rsid w:val="00285AED"/>
    <w:rsid w:val="002D189E"/>
    <w:rsid w:val="002E2442"/>
    <w:rsid w:val="002F0E8C"/>
    <w:rsid w:val="00310FA0"/>
    <w:rsid w:val="00320481"/>
    <w:rsid w:val="003250CB"/>
    <w:rsid w:val="003474E7"/>
    <w:rsid w:val="00363201"/>
    <w:rsid w:val="0039063C"/>
    <w:rsid w:val="003A46A8"/>
    <w:rsid w:val="003A51AA"/>
    <w:rsid w:val="003B565A"/>
    <w:rsid w:val="003D00A1"/>
    <w:rsid w:val="0041427F"/>
    <w:rsid w:val="00420454"/>
    <w:rsid w:val="00424BB1"/>
    <w:rsid w:val="0042535F"/>
    <w:rsid w:val="004509E5"/>
    <w:rsid w:val="00486FB9"/>
    <w:rsid w:val="004C212A"/>
    <w:rsid w:val="004E46E5"/>
    <w:rsid w:val="00500232"/>
    <w:rsid w:val="00504668"/>
    <w:rsid w:val="00542B58"/>
    <w:rsid w:val="005455E1"/>
    <w:rsid w:val="005502BD"/>
    <w:rsid w:val="00556787"/>
    <w:rsid w:val="00560AFC"/>
    <w:rsid w:val="00564BB9"/>
    <w:rsid w:val="005769F5"/>
    <w:rsid w:val="005C2560"/>
    <w:rsid w:val="005C3659"/>
    <w:rsid w:val="005F7585"/>
    <w:rsid w:val="006026E3"/>
    <w:rsid w:val="00605759"/>
    <w:rsid w:val="00642E81"/>
    <w:rsid w:val="0064657F"/>
    <w:rsid w:val="00650C6C"/>
    <w:rsid w:val="00652FE6"/>
    <w:rsid w:val="00667898"/>
    <w:rsid w:val="00677FE0"/>
    <w:rsid w:val="006D04EF"/>
    <w:rsid w:val="006E2FB0"/>
    <w:rsid w:val="007102D2"/>
    <w:rsid w:val="00713948"/>
    <w:rsid w:val="0071423B"/>
    <w:rsid w:val="00753A27"/>
    <w:rsid w:val="00767781"/>
    <w:rsid w:val="0079342A"/>
    <w:rsid w:val="007B4949"/>
    <w:rsid w:val="007F0BC6"/>
    <w:rsid w:val="00831374"/>
    <w:rsid w:val="00857580"/>
    <w:rsid w:val="00865238"/>
    <w:rsid w:val="008667BF"/>
    <w:rsid w:val="00895645"/>
    <w:rsid w:val="008C3782"/>
    <w:rsid w:val="008D4A32"/>
    <w:rsid w:val="008D593A"/>
    <w:rsid w:val="008E0A8F"/>
    <w:rsid w:val="008E7760"/>
    <w:rsid w:val="00922001"/>
    <w:rsid w:val="00922C17"/>
    <w:rsid w:val="00942DDD"/>
    <w:rsid w:val="009516A8"/>
    <w:rsid w:val="00964A9E"/>
    <w:rsid w:val="0097705C"/>
    <w:rsid w:val="009A5449"/>
    <w:rsid w:val="009B2CB8"/>
    <w:rsid w:val="009F393D"/>
    <w:rsid w:val="009F7F46"/>
    <w:rsid w:val="00A000BF"/>
    <w:rsid w:val="00A0587E"/>
    <w:rsid w:val="00A275BC"/>
    <w:rsid w:val="00A464B4"/>
    <w:rsid w:val="00A63D6B"/>
    <w:rsid w:val="00A6719C"/>
    <w:rsid w:val="00A7134F"/>
    <w:rsid w:val="00A84B52"/>
    <w:rsid w:val="00A8660F"/>
    <w:rsid w:val="00A95C48"/>
    <w:rsid w:val="00AA7056"/>
    <w:rsid w:val="00AB31C6"/>
    <w:rsid w:val="00AB523B"/>
    <w:rsid w:val="00AD7E40"/>
    <w:rsid w:val="00B022D3"/>
    <w:rsid w:val="00B1477A"/>
    <w:rsid w:val="00B20993"/>
    <w:rsid w:val="00B42E96"/>
    <w:rsid w:val="00B46EBF"/>
    <w:rsid w:val="00B50EE6"/>
    <w:rsid w:val="00B52185"/>
    <w:rsid w:val="00B9753A"/>
    <w:rsid w:val="00BB479C"/>
    <w:rsid w:val="00BC2E06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440AD"/>
    <w:rsid w:val="00D4471C"/>
    <w:rsid w:val="00D73CB8"/>
    <w:rsid w:val="00DA7591"/>
    <w:rsid w:val="00E263D8"/>
    <w:rsid w:val="00E32798"/>
    <w:rsid w:val="00E3777B"/>
    <w:rsid w:val="00E51C91"/>
    <w:rsid w:val="00E667C1"/>
    <w:rsid w:val="00EC3F88"/>
    <w:rsid w:val="00ED36D8"/>
    <w:rsid w:val="00EE5749"/>
    <w:rsid w:val="00EE6BD7"/>
    <w:rsid w:val="00F0689D"/>
    <w:rsid w:val="00FB01B5"/>
    <w:rsid w:val="00FC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869A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471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471C"/>
    <w:rPr>
      <w:rFonts w:ascii="Times New Roman" w:hAnsi="Times New Roman" w:cs="Times New Roman"/>
      <w:color w:val="000000" w:themeColor="tex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713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713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7134F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13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7134F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@VSE" TargetMode="External"/><Relationship Id="rId13" Type="http://schemas.openxmlformats.org/officeDocument/2006/relationships/chart" Target="charts/chart2.xml"/><Relationship Id="rId18" Type="http://schemas.openxmlformats.org/officeDocument/2006/relationships/chart" Target="charts/chart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I@VSE" TargetMode="External"/><Relationship Id="rId12" Type="http://schemas.openxmlformats.org/officeDocument/2006/relationships/chart" Target="charts/chart1.xml"/><Relationship Id="rId17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chart" Target="charts/chart4.xml"/><Relationship Id="rId10" Type="http://schemas.openxmlformats.org/officeDocument/2006/relationships/image" Target="media/image2.emf"/><Relationship Id="rId19" Type="http://schemas.openxmlformats.org/officeDocument/2006/relationships/chart" Target="charts/chart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oferdus\Desktop\NAIS\Vysledky%20mapovani_13032019\Finalni%20vysledky%20pruzkumu_13032019_MP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oferdus\Desktop\NAIS\Vysledky%20mapovani_13032019\Finalni%20vysledky%20pruzkumu_13032019_MP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frhome\data$\71000\71300\71320\AI\MAPA\Finalni%20vysledky%20pruzkumu_13032019_MP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oferdus\Desktop\NAIS\Vysledky%20mapovani_13032019\Finalni%20vysledky%20pruzkumu_13032019_MP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oferdus\Desktop\NAIS\Vysledky%20mapovani_13032019\Finalni%20vysledky%20pruzkumu_13032019_MP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oferdus\Desktop\NAIS\Vysledky%20mapovani_13032019\Finalni%20vysledky%20pruzkumu_13032019_MP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\\Users\oferdus\Desktop\NAIS\Vysledky%20mapovani_13032019\Finalni%20vysledky%20pruzkumu_13032019_MPO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'Využívané metody'!$B$3</c:f>
              <c:strCache>
                <c:ptCount val="1"/>
                <c:pt idx="0">
                  <c:v>Využívané metody v AI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'Využívané metody'!$A$4:$A$14</c:f>
              <c:strCache>
                <c:ptCount val="11"/>
                <c:pt idx="0">
                  <c:v>Data science </c:v>
                </c:pt>
                <c:pt idx="1">
                  <c:v>Strojové učení (vč. hlubokého učení)</c:v>
                </c:pt>
                <c:pt idx="2">
                  <c:v>Distribuované autonomní systémy</c:v>
                </c:pt>
                <c:pt idx="3">
                  <c:v>Automatické vyvozování </c:v>
                </c:pt>
                <c:pt idx="4">
                  <c:v>Plánování, rozvrhování </c:v>
                </c:pt>
                <c:pt idx="5">
                  <c:v>Zpracování řeči a přirozeného jazyka</c:v>
                </c:pt>
                <c:pt idx="6">
                  <c:v>Strojové vnímání</c:v>
                </c:pt>
                <c:pt idx="7">
                  <c:v>Autonomní robotika</c:v>
                </c:pt>
                <c:pt idx="8">
                  <c:v>Simulace</c:v>
                </c:pt>
                <c:pt idx="9">
                  <c:v>Počítačové vidění a grafika</c:v>
                </c:pt>
                <c:pt idx="10">
                  <c:v>Jiné</c:v>
                </c:pt>
              </c:strCache>
            </c:strRef>
          </c:cat>
          <c:val>
            <c:numRef>
              <c:f>'Využívané metody'!$B$4:$B$14</c:f>
              <c:numCache>
                <c:formatCode>0%</c:formatCode>
                <c:ptCount val="11"/>
                <c:pt idx="0">
                  <c:v>0.56999999999999995</c:v>
                </c:pt>
                <c:pt idx="1">
                  <c:v>0.79</c:v>
                </c:pt>
                <c:pt idx="2">
                  <c:v>0.09</c:v>
                </c:pt>
                <c:pt idx="3">
                  <c:v>0.19</c:v>
                </c:pt>
                <c:pt idx="4">
                  <c:v>0.19</c:v>
                </c:pt>
                <c:pt idx="5">
                  <c:v>0.47</c:v>
                </c:pt>
                <c:pt idx="6">
                  <c:v>0.21</c:v>
                </c:pt>
                <c:pt idx="7">
                  <c:v>0.11</c:v>
                </c:pt>
                <c:pt idx="8">
                  <c:v>0.28000000000000003</c:v>
                </c:pt>
                <c:pt idx="9">
                  <c:v>0.49</c:v>
                </c:pt>
                <c:pt idx="10">
                  <c:v>0.09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782-1D42-B757-F30BD26F9F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5274808"/>
        <c:axId val="275507784"/>
      </c:barChart>
      <c:catAx>
        <c:axId val="275274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5507784"/>
        <c:crosses val="autoZero"/>
        <c:auto val="1"/>
        <c:lblAlgn val="ctr"/>
        <c:lblOffset val="100"/>
        <c:noMultiLvlLbl val="0"/>
      </c:catAx>
      <c:valAx>
        <c:axId val="275507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52748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'Počet pracovníků'!$B$2</c:f>
              <c:strCache>
                <c:ptCount val="1"/>
                <c:pt idx="0">
                  <c:v>Počet R&amp;D pracovníků v AI (ekvivalent na úvazek)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575D-5341-B68A-6BCF56F5062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575D-5341-B68A-6BCF56F5062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575D-5341-B68A-6BCF56F50627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575D-5341-B68A-6BCF56F50627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575D-5341-B68A-6BCF56F50627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575D-5341-B68A-6BCF56F50627}"/>
              </c:ext>
            </c:extLst>
          </c:dPt>
          <c:cat>
            <c:strRef>
              <c:f>'Počet pracovníků'!$A$3:$A$8</c:f>
              <c:strCache>
                <c:ptCount val="6"/>
                <c:pt idx="0">
                  <c:v>0,1 - 5 </c:v>
                </c:pt>
                <c:pt idx="1">
                  <c:v>5,1 - 10 </c:v>
                </c:pt>
                <c:pt idx="2">
                  <c:v>10,1 - 15 </c:v>
                </c:pt>
                <c:pt idx="3">
                  <c:v>15,1 - 20</c:v>
                </c:pt>
                <c:pt idx="4">
                  <c:v>20,1 - 50 </c:v>
                </c:pt>
                <c:pt idx="5">
                  <c:v>50,1 a více </c:v>
                </c:pt>
              </c:strCache>
            </c:strRef>
          </c:cat>
          <c:val>
            <c:numRef>
              <c:f>'Počet pracovníků'!$B$3:$B$8</c:f>
              <c:numCache>
                <c:formatCode>0%</c:formatCode>
                <c:ptCount val="6"/>
                <c:pt idx="0">
                  <c:v>0.48</c:v>
                </c:pt>
                <c:pt idx="1">
                  <c:v>0.23</c:v>
                </c:pt>
                <c:pt idx="2">
                  <c:v>0.11</c:v>
                </c:pt>
                <c:pt idx="3">
                  <c:v>0.08</c:v>
                </c:pt>
                <c:pt idx="4">
                  <c:v>0.08</c:v>
                </c:pt>
                <c:pt idx="5">
                  <c:v>0.02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575D-5341-B68A-6BCF56F5062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26781071242849713"/>
          <c:y val="2.489626556016597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'[Finalni vysledky pruzkumu_13032019_MPO.xlsx]Aplikační sektory'!$B$2</c:f>
              <c:strCache>
                <c:ptCount val="1"/>
                <c:pt idx="0">
                  <c:v>Aplikační sektory výsledných produktů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'[Finalni vysledky pruzkumu_13032019_MPO.xlsx]Aplikační sektory'!$A$3:$A$29</c:f>
              <c:strCache>
                <c:ptCount val="27"/>
                <c:pt idx="0">
                  <c:v>Kybernetická bezpečnost</c:v>
                </c:pt>
                <c:pt idx="1">
                  <c:v>Mezisektorové aplikace</c:v>
                </c:pt>
                <c:pt idx="2">
                  <c:v>Zdravotnictví</c:v>
                </c:pt>
                <c:pt idx="3">
                  <c:v>Podnikové AI</c:v>
                </c:pt>
                <c:pt idx="4">
                  <c:v>Robotika</c:v>
                </c:pt>
                <c:pt idx="5">
                  <c:v>Marketing</c:v>
                </c:pt>
                <c:pt idx="6">
                  <c:v>Peněžnictví a pojišťovnictví</c:v>
                </c:pt>
                <c:pt idx="7">
                  <c:v>Automotive</c:v>
                </c:pt>
                <c:pt idx="8">
                  <c:v>Internet věcí</c:v>
                </c:pt>
                <c:pt idx="9">
                  <c:v>Obchodování</c:v>
                </c:pt>
                <c:pt idx="10">
                  <c:v>Předpisy a normy</c:v>
                </c:pt>
                <c:pt idx="11">
                  <c:v>Hardware pro AI</c:v>
                </c:pt>
                <c:pt idx="12">
                  <c:v>Hardware obecně</c:v>
                </c:pt>
                <c:pt idx="13">
                  <c:v>Média a zpravodajství</c:v>
                </c:pt>
                <c:pt idx="14">
                  <c:v>Výuka</c:v>
                </c:pt>
                <c:pt idx="15">
                  <c:v>Průzkum země </c:v>
                </c:pt>
                <c:pt idx="16">
                  <c:v>Zemědělství </c:v>
                </c:pt>
                <c:pt idx="17">
                  <c:v>Bezpečnost fyzická</c:v>
                </c:pt>
                <c:pt idx="18">
                  <c:v>Humanitní vědy</c:v>
                </c:pt>
                <c:pt idx="19">
                  <c:v>IT a sítě </c:v>
                </c:pt>
                <c:pt idx="20">
                  <c:v>Právní </c:v>
                </c:pt>
                <c:pt idx="21">
                  <c:v>Cestování</c:v>
                </c:pt>
                <c:pt idx="22">
                  <c:v>SW vývoj</c:v>
                </c:pt>
                <c:pt idx="23">
                  <c:v>Osobní asistenti</c:v>
                </c:pt>
                <c:pt idx="24">
                  <c:v>Sport</c:v>
                </c:pt>
                <c:pt idx="25">
                  <c:v>E-sporty</c:v>
                </c:pt>
                <c:pt idx="26">
                  <c:v>Jiné</c:v>
                </c:pt>
              </c:strCache>
            </c:strRef>
          </c:cat>
          <c:val>
            <c:numRef>
              <c:f>'[Finalni vysledky pruzkumu_13032019_MPO.xlsx]Aplikační sektory'!$B$3:$B$29</c:f>
              <c:numCache>
                <c:formatCode>0%</c:formatCode>
                <c:ptCount val="27"/>
                <c:pt idx="0">
                  <c:v>0.23</c:v>
                </c:pt>
                <c:pt idx="1">
                  <c:v>0.13</c:v>
                </c:pt>
                <c:pt idx="2">
                  <c:v>0.21</c:v>
                </c:pt>
                <c:pt idx="3">
                  <c:v>0.45</c:v>
                </c:pt>
                <c:pt idx="4">
                  <c:v>0.21</c:v>
                </c:pt>
                <c:pt idx="5">
                  <c:v>0.3</c:v>
                </c:pt>
                <c:pt idx="6">
                  <c:v>0.32</c:v>
                </c:pt>
                <c:pt idx="7">
                  <c:v>0.26</c:v>
                </c:pt>
                <c:pt idx="8">
                  <c:v>0.21</c:v>
                </c:pt>
                <c:pt idx="9">
                  <c:v>0.15</c:v>
                </c:pt>
                <c:pt idx="10">
                  <c:v>0.06</c:v>
                </c:pt>
                <c:pt idx="11">
                  <c:v>0.06</c:v>
                </c:pt>
                <c:pt idx="12">
                  <c:v>0.04</c:v>
                </c:pt>
                <c:pt idx="13">
                  <c:v>0.21</c:v>
                </c:pt>
                <c:pt idx="14">
                  <c:v>0.21</c:v>
                </c:pt>
                <c:pt idx="15">
                  <c:v>0.09</c:v>
                </c:pt>
                <c:pt idx="16">
                  <c:v>0.06</c:v>
                </c:pt>
                <c:pt idx="17">
                  <c:v>0.02</c:v>
                </c:pt>
                <c:pt idx="18">
                  <c:v>0.06</c:v>
                </c:pt>
                <c:pt idx="19">
                  <c:v>0.17</c:v>
                </c:pt>
                <c:pt idx="20">
                  <c:v>0.11</c:v>
                </c:pt>
                <c:pt idx="21">
                  <c:v>0.02</c:v>
                </c:pt>
                <c:pt idx="22">
                  <c:v>0.3</c:v>
                </c:pt>
                <c:pt idx="23">
                  <c:v>0.19</c:v>
                </c:pt>
                <c:pt idx="24">
                  <c:v>0.02</c:v>
                </c:pt>
                <c:pt idx="25">
                  <c:v>0.02</c:v>
                </c:pt>
                <c:pt idx="26">
                  <c:v>0.21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7AB-FD4C-8F07-942CF19A2B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5561648"/>
        <c:axId val="275574552"/>
      </c:barChart>
      <c:catAx>
        <c:axId val="275561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5574552"/>
        <c:crosses val="autoZero"/>
        <c:auto val="1"/>
        <c:lblAlgn val="ctr"/>
        <c:lblOffset val="100"/>
        <c:noMultiLvlLbl val="0"/>
      </c:catAx>
      <c:valAx>
        <c:axId val="275574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5561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Financování!$B$2</c:f>
              <c:strCache>
                <c:ptCount val="1"/>
                <c:pt idx="0">
                  <c:v>Způsoby financování výzkumu a vývoje AI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Financování!$A$3:$A$7</c:f>
              <c:strCache>
                <c:ptCount val="5"/>
                <c:pt idx="0">
                  <c:v>Vlastní zdroje </c:v>
                </c:pt>
                <c:pt idx="1">
                  <c:v>Externí zdroje - soukromé místní (např. business angel, VC fond, bankovní půjčka)</c:v>
                </c:pt>
                <c:pt idx="2">
                  <c:v>Externí zdroje - soukromé zahraniční (např. business angel, VC fond)</c:v>
                </c:pt>
                <c:pt idx="3">
                  <c:v>Externí zdroje - veřejné místní (např. TA ČR, národní granty) </c:v>
                </c:pt>
                <c:pt idx="4">
                  <c:v>Externí zdroje - veřejné zahraniční (např. granty Evropské unie)</c:v>
                </c:pt>
              </c:strCache>
            </c:strRef>
          </c:cat>
          <c:val>
            <c:numRef>
              <c:f>Financování!$B$3:$B$7</c:f>
              <c:numCache>
                <c:formatCode>0%</c:formatCode>
                <c:ptCount val="5"/>
                <c:pt idx="0">
                  <c:v>0.88</c:v>
                </c:pt>
                <c:pt idx="1">
                  <c:v>0.13</c:v>
                </c:pt>
                <c:pt idx="2">
                  <c:v>0.08</c:v>
                </c:pt>
                <c:pt idx="3">
                  <c:v>0.3</c:v>
                </c:pt>
                <c:pt idx="4">
                  <c:v>0.23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BA6-4E4B-B72A-E1274F979A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5593336"/>
        <c:axId val="275791704"/>
      </c:barChart>
      <c:catAx>
        <c:axId val="275593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5791704"/>
        <c:crosses val="autoZero"/>
        <c:auto val="1"/>
        <c:lblAlgn val="ctr"/>
        <c:lblOffset val="100"/>
        <c:noMultiLvlLbl val="0"/>
      </c:catAx>
      <c:valAx>
        <c:axId val="275791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55933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Obrat!$B$2</c:f>
              <c:strCache>
                <c:ptCount val="1"/>
                <c:pt idx="0">
                  <c:v>Roční obrat v mil. Kč v aktivitách AI v ČR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0DC-814B-9B53-C404539BF8F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0DC-814B-9B53-C404539BF8F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0DC-814B-9B53-C404539BF8F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0DC-814B-9B53-C404539BF8F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0DC-814B-9B53-C404539BF8F9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0DC-814B-9B53-C404539BF8F9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0DC-814B-9B53-C404539BF8F9}"/>
              </c:ext>
            </c:extLst>
          </c:dPt>
          <c:cat>
            <c:strRef>
              <c:f>Obrat!$A$3:$A$9</c:f>
              <c:strCache>
                <c:ptCount val="7"/>
                <c:pt idx="0">
                  <c:v>do 1 mil. Kč </c:v>
                </c:pt>
                <c:pt idx="1">
                  <c:v>1 - 5 mil. Kč </c:v>
                </c:pt>
                <c:pt idx="2">
                  <c:v>6 -10 mil. Kč </c:v>
                </c:pt>
                <c:pt idx="3">
                  <c:v>11 - 15 mil. Kč </c:v>
                </c:pt>
                <c:pt idx="4">
                  <c:v>16 - 50 mil. Kč </c:v>
                </c:pt>
                <c:pt idx="5">
                  <c:v>51 mil. Kč a více </c:v>
                </c:pt>
                <c:pt idx="6">
                  <c:v>Bez odpovědi</c:v>
                </c:pt>
              </c:strCache>
            </c:strRef>
          </c:cat>
          <c:val>
            <c:numRef>
              <c:f>Obrat!$B$3:$B$9</c:f>
              <c:numCache>
                <c:formatCode>0%</c:formatCode>
                <c:ptCount val="7"/>
                <c:pt idx="0">
                  <c:v>0.19</c:v>
                </c:pt>
                <c:pt idx="1">
                  <c:v>0.13</c:v>
                </c:pt>
                <c:pt idx="2">
                  <c:v>0.15</c:v>
                </c:pt>
                <c:pt idx="3">
                  <c:v>0.04</c:v>
                </c:pt>
                <c:pt idx="4">
                  <c:v>0.04</c:v>
                </c:pt>
                <c:pt idx="5">
                  <c:v>0.06</c:v>
                </c:pt>
                <c:pt idx="6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A0DC-814B-9B53-C404539BF8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Investice!$B$2</c:f>
              <c:strCache>
                <c:ptCount val="1"/>
                <c:pt idx="0">
                  <c:v>Objem plánovaných investičních prostředků v ČR (v mil Kč) do AI pro roky 2019 a 2020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5A2-A648-AEE0-B5B416A441A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5A2-A648-AEE0-B5B416A441A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D5A2-A648-AEE0-B5B416A441A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D5A2-A648-AEE0-B5B416A441A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D5A2-A648-AEE0-B5B416A441AB}"/>
              </c:ext>
            </c:extLst>
          </c:dPt>
          <c:cat>
            <c:strRef>
              <c:f>Investice!$A$3:$A$7</c:f>
              <c:strCache>
                <c:ptCount val="5"/>
                <c:pt idx="0">
                  <c:v>1 - 5 mil. Kč </c:v>
                </c:pt>
                <c:pt idx="1">
                  <c:v>6 -10 mil. Kč</c:v>
                </c:pt>
                <c:pt idx="2">
                  <c:v>10 - 50 mil. Kč </c:v>
                </c:pt>
                <c:pt idx="3">
                  <c:v>51 mil. Kč a více</c:v>
                </c:pt>
                <c:pt idx="4">
                  <c:v>Bez odpovědi</c:v>
                </c:pt>
              </c:strCache>
            </c:strRef>
          </c:cat>
          <c:val>
            <c:numRef>
              <c:f>Investice!$B$3:$B$7</c:f>
              <c:numCache>
                <c:formatCode>0%</c:formatCode>
                <c:ptCount val="5"/>
                <c:pt idx="0">
                  <c:v>0.31</c:v>
                </c:pt>
                <c:pt idx="1">
                  <c:v>0.08</c:v>
                </c:pt>
                <c:pt idx="2">
                  <c:v>0.15</c:v>
                </c:pt>
                <c:pt idx="3">
                  <c:v>0.06</c:v>
                </c:pt>
                <c:pt idx="4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D5A2-A648-AEE0-B5B416A441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Vzdělávání!$B$2</c:f>
              <c:strCache>
                <c:ptCount val="1"/>
                <c:pt idx="0">
                  <c:v>Důležitost otázky vzdělávání a rekvalifikace pracovníků/zaměstnanců s narůstající přeměnou trhu práce (nástup nových technologií, AI apod.)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D8F-8A45-9DC5-758757217E0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D8F-8A45-9DC5-758757217E0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6D8F-8A45-9DC5-758757217E0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6D8F-8A45-9DC5-758757217E0F}"/>
              </c:ext>
            </c:extLst>
          </c:dPt>
          <c:cat>
            <c:strRef>
              <c:f>Vzdělávání!$A$3:$A$6</c:f>
              <c:strCache>
                <c:ptCount val="4"/>
                <c:pt idx="0">
                  <c:v>Velmi důležité </c:v>
                </c:pt>
                <c:pt idx="1">
                  <c:v>Neutrální </c:v>
                </c:pt>
                <c:pt idx="2">
                  <c:v>Vůbec neřešíme</c:v>
                </c:pt>
                <c:pt idx="3">
                  <c:v>Bez odpovědi</c:v>
                </c:pt>
              </c:strCache>
            </c:strRef>
          </c:cat>
          <c:val>
            <c:numRef>
              <c:f>Vzdělávání!$B$3:$B$6</c:f>
              <c:numCache>
                <c:formatCode>0%</c:formatCode>
                <c:ptCount val="4"/>
                <c:pt idx="0">
                  <c:v>0.44</c:v>
                </c:pt>
                <c:pt idx="1">
                  <c:v>0.13</c:v>
                </c:pt>
                <c:pt idx="2">
                  <c:v>0.1</c:v>
                </c:pt>
                <c:pt idx="3">
                  <c:v>0.33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6D8F-8A45-9DC5-758757217E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553EFC24</Template>
  <TotalTime>0</TotalTime>
  <Pages>11</Pages>
  <Words>894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2019-04-26T10:28:00Z</dcterms:created>
  <dcterms:modified xsi:type="dcterms:W3CDTF">2019-04-26T10:28:00Z</dcterms:modified>
</cp:coreProperties>
</file>